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A20" w:rsidRPr="00E86EBA" w:rsidRDefault="00114A20" w:rsidP="00114A20">
      <w:pPr>
        <w:spacing w:after="24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inline distT="0" distB="0" distL="0" distR="0" wp14:anchorId="698E7A6D" wp14:editId="19FBA362">
            <wp:extent cx="2092325" cy="1184910"/>
            <wp:effectExtent l="0" t="0" r="3175" b="0"/>
            <wp:docPr id="5" name="Imagem 5" descr="http://www.ioepa.com.br/site/_img/Logo-I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ioepa.com.br/site/_img/Logo-IO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2325" cy="1184910"/>
                    </a:xfrm>
                    <a:prstGeom prst="rect">
                      <a:avLst/>
                    </a:prstGeom>
                    <a:noFill/>
                    <a:ln>
                      <a:noFill/>
                    </a:ln>
                  </pic:spPr>
                </pic:pic>
              </a:graphicData>
            </a:graphic>
          </wp:inline>
        </w:drawing>
      </w:r>
    </w:p>
    <w:p w:rsidR="00114A20" w:rsidRPr="00E86EBA" w:rsidRDefault="00114A20" w:rsidP="00114A20">
      <w:pPr>
        <w:spacing w:after="240" w:line="240" w:lineRule="auto"/>
        <w:jc w:val="center"/>
        <w:rPr>
          <w:rFonts w:ascii="Arial" w:eastAsia="Times New Roman" w:hAnsi="Arial" w:cs="Arial"/>
          <w:sz w:val="20"/>
          <w:szCs w:val="20"/>
          <w:lang w:eastAsia="pt-BR"/>
        </w:rPr>
      </w:pPr>
      <w:r w:rsidRPr="00E86EBA">
        <w:rPr>
          <w:rFonts w:ascii="Arial" w:eastAsia="Times New Roman" w:hAnsi="Arial" w:cs="Arial"/>
          <w:sz w:val="27"/>
          <w:szCs w:val="27"/>
          <w:lang w:eastAsia="pt-BR"/>
        </w:rPr>
        <w:t>DIÁRIO OFICIAL Nº. 31808 de 10/12/2010</w:t>
      </w:r>
      <w:r w:rsidRPr="00E86EBA">
        <w:rPr>
          <w:rFonts w:ascii="Times New Roman" w:eastAsia="Times New Roman" w:hAnsi="Times New Roman" w:cs="Times New Roman"/>
          <w:sz w:val="24"/>
          <w:szCs w:val="24"/>
          <w:lang w:eastAsia="pt-BR"/>
        </w:rPr>
        <w:br/>
      </w:r>
      <w:r w:rsidRPr="00E86EBA">
        <w:rPr>
          <w:rFonts w:ascii="Times New Roman" w:eastAsia="Times New Roman" w:hAnsi="Times New Roman" w:cs="Times New Roman"/>
          <w:sz w:val="24"/>
          <w:szCs w:val="24"/>
          <w:lang w:eastAsia="pt-BR"/>
        </w:rPr>
        <w:br/>
      </w:r>
      <w:r w:rsidRPr="00E86EBA">
        <w:rPr>
          <w:rFonts w:ascii="Arial" w:eastAsia="Times New Roman" w:hAnsi="Arial" w:cs="Arial"/>
          <w:b/>
          <w:bCs/>
          <w:sz w:val="24"/>
          <w:szCs w:val="24"/>
          <w:lang w:eastAsia="pt-BR"/>
        </w:rPr>
        <w:t>SECRETARIA DE ESTADO DE AGRICULTURA</w:t>
      </w:r>
      <w:r w:rsidRPr="00E86EBA">
        <w:rPr>
          <w:rFonts w:ascii="Arial" w:eastAsia="Times New Roman" w:hAnsi="Arial" w:cs="Arial"/>
          <w:sz w:val="24"/>
          <w:szCs w:val="24"/>
          <w:lang w:eastAsia="pt-BR"/>
        </w:rPr>
        <w:br/>
      </w:r>
      <w:r w:rsidRPr="00E86EBA">
        <w:rPr>
          <w:rFonts w:ascii="Arial" w:eastAsia="Times New Roman" w:hAnsi="Arial" w:cs="Arial"/>
          <w:b/>
          <w:bCs/>
          <w:sz w:val="20"/>
          <w:szCs w:val="20"/>
          <w:lang w:eastAsia="pt-BR"/>
        </w:rPr>
        <w:t>INSTITUTO DE TERRAS DO PARÁ</w:t>
      </w:r>
      <w:r w:rsidRPr="00E86EBA">
        <w:rPr>
          <w:rFonts w:ascii="Arial" w:eastAsia="Times New Roman" w:hAnsi="Arial" w:cs="Arial"/>
          <w:sz w:val="20"/>
          <w:szCs w:val="20"/>
          <w:lang w:eastAsia="pt-BR"/>
        </w:rPr>
        <w:br/>
      </w:r>
    </w:p>
    <w:p w:rsidR="00114A20" w:rsidRPr="00E86EBA" w:rsidRDefault="00114A20" w:rsidP="00114A20">
      <w:pPr>
        <w:spacing w:after="240" w:line="240" w:lineRule="auto"/>
        <w:jc w:val="center"/>
        <w:rPr>
          <w:rFonts w:ascii="Arial" w:eastAsia="Times New Roman" w:hAnsi="Arial" w:cs="Arial"/>
          <w:sz w:val="20"/>
          <w:szCs w:val="20"/>
          <w:lang w:eastAsia="pt-BR"/>
        </w:rPr>
      </w:pPr>
      <w:r w:rsidRPr="00E86EBA">
        <w:rPr>
          <w:rFonts w:ascii="Arial" w:eastAsia="Times New Roman" w:hAnsi="Arial" w:cs="Arial"/>
          <w:sz w:val="20"/>
          <w:szCs w:val="20"/>
          <w:lang w:eastAsia="pt-BR"/>
        </w:rPr>
        <w:t>PORTARIA Nº 02860, DE 07 DE DEZEMBRO DE 2010</w:t>
      </w:r>
      <w:r w:rsidRPr="00E86EBA">
        <w:rPr>
          <w:rFonts w:ascii="Arial" w:eastAsia="Times New Roman" w:hAnsi="Arial" w:cs="Arial"/>
          <w:sz w:val="20"/>
          <w:szCs w:val="20"/>
          <w:lang w:eastAsia="pt-BR"/>
        </w:rPr>
        <w:br/>
      </w:r>
      <w:r w:rsidRPr="00E86EBA">
        <w:rPr>
          <w:rFonts w:ascii="Arial" w:eastAsia="Times New Roman" w:hAnsi="Arial" w:cs="Arial"/>
          <w:sz w:val="20"/>
          <w:szCs w:val="20"/>
          <w:lang w:eastAsia="pt-BR"/>
        </w:rPr>
        <w:br/>
        <w:t xml:space="preserve">Número de Publicação: </w:t>
      </w:r>
      <w:proofErr w:type="gramStart"/>
      <w:r w:rsidRPr="00E86EBA">
        <w:rPr>
          <w:rFonts w:ascii="Arial" w:eastAsia="Times New Roman" w:hAnsi="Arial" w:cs="Arial"/>
          <w:sz w:val="20"/>
          <w:szCs w:val="20"/>
          <w:lang w:eastAsia="pt-BR"/>
        </w:rPr>
        <w:t>187744</w:t>
      </w:r>
      <w:proofErr w:type="gramEnd"/>
    </w:p>
    <w:tbl>
      <w:tblPr>
        <w:tblW w:w="9630" w:type="dxa"/>
        <w:jc w:val="center"/>
        <w:tblLayout w:type="fixed"/>
        <w:tblCellMar>
          <w:left w:w="0" w:type="dxa"/>
          <w:right w:w="0" w:type="dxa"/>
        </w:tblCellMar>
        <w:tblLook w:val="04A0" w:firstRow="1" w:lastRow="0" w:firstColumn="1" w:lastColumn="0" w:noHBand="0" w:noVBand="1"/>
      </w:tblPr>
      <w:tblGrid>
        <w:gridCol w:w="9630"/>
      </w:tblGrid>
      <w:tr w:rsidR="00114A20" w:rsidRPr="00E86EBA" w:rsidTr="008F5986">
        <w:trPr>
          <w:jc w:val="center"/>
        </w:trPr>
        <w:tc>
          <w:tcPr>
            <w:tcW w:w="9637" w:type="dxa"/>
            <w:tcBorders>
              <w:top w:val="nil"/>
              <w:left w:val="nil"/>
              <w:bottom w:val="nil"/>
              <w:right w:val="nil"/>
            </w:tcBorders>
            <w:shd w:val="clear" w:color="auto" w:fill="auto"/>
            <w:vAlign w:val="center"/>
          </w:tcPr>
          <w:p w:rsidR="00114A20" w:rsidRPr="00E86EBA" w:rsidRDefault="00114A20" w:rsidP="008F5986">
            <w:pPr>
              <w:snapToGrid w:val="0"/>
              <w:spacing w:after="0"/>
              <w:ind w:left="3690" w:right="555"/>
              <w:jc w:val="both"/>
              <w:rPr>
                <w:rFonts w:ascii="Verdana" w:eastAsia="Times New Roman" w:hAnsi="Verdana" w:cs="Times New Roman"/>
                <w:i/>
                <w:iCs/>
                <w:sz w:val="24"/>
                <w:szCs w:val="24"/>
                <w:lang w:eastAsia="pt-BR"/>
              </w:rPr>
            </w:pPr>
            <w:r w:rsidRPr="00E86EBA">
              <w:rPr>
                <w:rFonts w:ascii="Verdana" w:eastAsia="Times New Roman" w:hAnsi="Verdana" w:cs="Times New Roman"/>
                <w:i/>
                <w:iCs/>
                <w:sz w:val="24"/>
                <w:szCs w:val="24"/>
                <w:lang w:eastAsia="pt-BR"/>
              </w:rPr>
              <w:t xml:space="preserve">Cria o </w:t>
            </w:r>
            <w:r w:rsidRPr="00E86EBA">
              <w:rPr>
                <w:rFonts w:ascii="Verdana" w:eastAsia="Times New Roman" w:hAnsi="Verdana" w:cs="Times New Roman"/>
                <w:b/>
                <w:i/>
                <w:iCs/>
                <w:sz w:val="24"/>
                <w:szCs w:val="24"/>
                <w:lang w:eastAsia="pt-BR"/>
              </w:rPr>
              <w:t>TERRITÓRIO ESTADUAL QUILOMBOLA – TEQ, MACAPAZINHO</w:t>
            </w:r>
            <w:r w:rsidRPr="00E86EBA">
              <w:rPr>
                <w:rFonts w:ascii="Verdana" w:eastAsia="Times New Roman" w:hAnsi="Verdana" w:cs="Times New Roman"/>
                <w:i/>
                <w:iCs/>
                <w:sz w:val="24"/>
                <w:szCs w:val="24"/>
                <w:lang w:eastAsia="pt-BR"/>
              </w:rPr>
              <w:t xml:space="preserve"> localizado no Município Santa Isabel do Pará, Estado do Pará.</w:t>
            </w:r>
          </w:p>
          <w:p w:rsidR="00114A20" w:rsidRPr="00E86EBA" w:rsidRDefault="00114A20" w:rsidP="008F5986">
            <w:pPr>
              <w:snapToGrid w:val="0"/>
              <w:spacing w:after="0"/>
              <w:ind w:left="3690" w:right="555"/>
              <w:jc w:val="both"/>
              <w:rPr>
                <w:rFonts w:ascii="Times New Roman" w:eastAsia="Times New Roman" w:hAnsi="Times New Roman" w:cs="Times New Roman"/>
                <w:sz w:val="24"/>
                <w:szCs w:val="24"/>
                <w:lang w:eastAsia="pt-BR"/>
              </w:rPr>
            </w:pPr>
          </w:p>
        </w:tc>
      </w:tr>
      <w:tr w:rsidR="00114A20" w:rsidRPr="00E86EBA" w:rsidTr="008F5986">
        <w:trPr>
          <w:jc w:val="center"/>
        </w:trPr>
        <w:tc>
          <w:tcPr>
            <w:tcW w:w="9637" w:type="dxa"/>
            <w:tcBorders>
              <w:top w:val="nil"/>
              <w:left w:val="nil"/>
              <w:bottom w:val="nil"/>
              <w:right w:val="nil"/>
            </w:tcBorders>
            <w:shd w:val="clear" w:color="auto" w:fill="auto"/>
            <w:vAlign w:val="center"/>
            <w:hideMark/>
          </w:tcPr>
          <w:p w:rsidR="00114A20" w:rsidRPr="00E86EBA" w:rsidRDefault="00114A20" w:rsidP="008F5986">
            <w:pPr>
              <w:snapToGrid w:val="0"/>
              <w:spacing w:after="120"/>
              <w:jc w:val="both"/>
              <w:rPr>
                <w:rFonts w:ascii="Verdana" w:eastAsia="Times New Roman" w:hAnsi="Verdana" w:cs="Times New Roman"/>
                <w:sz w:val="24"/>
                <w:szCs w:val="24"/>
                <w:lang w:eastAsia="pt-BR"/>
              </w:rPr>
            </w:pPr>
          </w:p>
          <w:p w:rsidR="00114A20" w:rsidRPr="00E86EBA" w:rsidRDefault="00114A20" w:rsidP="008F5986">
            <w:pPr>
              <w:snapToGrid w:val="0"/>
              <w:spacing w:after="120"/>
              <w:jc w:val="both"/>
              <w:rPr>
                <w:rFonts w:ascii="Verdana" w:eastAsia="Times New Roman" w:hAnsi="Verdana" w:cs="Times New Roman"/>
                <w:sz w:val="24"/>
                <w:szCs w:val="24"/>
                <w:lang w:eastAsia="pt-BR"/>
              </w:rPr>
            </w:pPr>
            <w:r w:rsidRPr="00E86EBA">
              <w:rPr>
                <w:rFonts w:ascii="Verdana" w:eastAsia="Times New Roman" w:hAnsi="Verdana" w:cs="Times New Roman"/>
                <w:sz w:val="24"/>
                <w:szCs w:val="24"/>
                <w:lang w:eastAsia="pt-BR"/>
              </w:rPr>
              <w:t xml:space="preserve">                O Presidente do Instituto de Terras do Estado do Pará, no uso das atribuições que lhes são conferidas pelo art. 2°, incisos </w:t>
            </w:r>
            <w:proofErr w:type="gramStart"/>
            <w:r w:rsidRPr="00E86EBA">
              <w:rPr>
                <w:rFonts w:ascii="Verdana" w:eastAsia="Times New Roman" w:hAnsi="Verdana" w:cs="Times New Roman"/>
                <w:sz w:val="24"/>
                <w:szCs w:val="24"/>
                <w:lang w:eastAsia="pt-BR"/>
              </w:rPr>
              <w:t>VI</w:t>
            </w:r>
            <w:proofErr w:type="gramEnd"/>
            <w:r w:rsidRPr="00E86EBA">
              <w:rPr>
                <w:rFonts w:ascii="Verdana" w:eastAsia="Times New Roman" w:hAnsi="Verdana" w:cs="Times New Roman"/>
                <w:sz w:val="24"/>
                <w:szCs w:val="24"/>
                <w:lang w:eastAsia="pt-BR"/>
              </w:rPr>
              <w:t xml:space="preserve"> e VIII, e Art. 5°, alíneas </w:t>
            </w:r>
            <w:r w:rsidRPr="00E86EBA">
              <w:rPr>
                <w:rFonts w:ascii="Verdana" w:eastAsia="Times New Roman" w:hAnsi="Verdana" w:cs="Times New Roman"/>
                <w:i/>
                <w:sz w:val="24"/>
                <w:szCs w:val="24"/>
                <w:lang w:eastAsia="pt-BR"/>
              </w:rPr>
              <w:t xml:space="preserve">a </w:t>
            </w:r>
            <w:r w:rsidRPr="00E86EBA">
              <w:rPr>
                <w:rFonts w:ascii="Verdana" w:eastAsia="Times New Roman" w:hAnsi="Verdana" w:cs="Times New Roman"/>
                <w:sz w:val="24"/>
                <w:szCs w:val="24"/>
                <w:lang w:eastAsia="pt-BR"/>
              </w:rPr>
              <w:t xml:space="preserve">e </w:t>
            </w:r>
            <w:r w:rsidRPr="00E86EBA">
              <w:rPr>
                <w:rFonts w:ascii="Verdana" w:eastAsia="Times New Roman" w:hAnsi="Verdana" w:cs="Times New Roman"/>
                <w:i/>
                <w:sz w:val="24"/>
                <w:szCs w:val="24"/>
                <w:lang w:eastAsia="pt-BR"/>
              </w:rPr>
              <w:t>k</w:t>
            </w:r>
            <w:r w:rsidRPr="00E86EBA">
              <w:rPr>
                <w:rFonts w:ascii="Verdana" w:eastAsia="Times New Roman" w:hAnsi="Verdana" w:cs="Times New Roman"/>
                <w:sz w:val="24"/>
                <w:szCs w:val="24"/>
                <w:lang w:eastAsia="pt-BR"/>
              </w:rPr>
              <w:t xml:space="preserve">, da Lei 4.584 de 08 de outubro de 1975 e o Art. 17, inciso II, </w:t>
            </w:r>
            <w:r w:rsidRPr="00E86EBA">
              <w:rPr>
                <w:rFonts w:ascii="Verdana" w:eastAsia="Times New Roman" w:hAnsi="Verdana" w:cs="Times New Roman"/>
                <w:i/>
                <w:sz w:val="24"/>
                <w:szCs w:val="24"/>
                <w:lang w:eastAsia="pt-BR"/>
              </w:rPr>
              <w:t>c</w:t>
            </w:r>
            <w:r w:rsidRPr="00E86EBA">
              <w:rPr>
                <w:rFonts w:ascii="Verdana" w:eastAsia="Times New Roman" w:hAnsi="Verdana" w:cs="Times New Roman"/>
                <w:sz w:val="24"/>
                <w:szCs w:val="24"/>
                <w:lang w:eastAsia="pt-BR"/>
              </w:rPr>
              <w:t>, do Decreto 063 de 14/03/2007; Art. 7° do Decreto nº 2280 de 24 de maio de 2010 diário oficial de 08 de junho 2010 e Instrução Normativa do ITERPA nº 09  de junho de 2010.</w:t>
            </w:r>
          </w:p>
          <w:p w:rsidR="00114A20" w:rsidRPr="00E86EBA" w:rsidRDefault="00114A20" w:rsidP="008F5986">
            <w:pPr>
              <w:spacing w:after="0"/>
              <w:jc w:val="both"/>
              <w:rPr>
                <w:rFonts w:ascii="Verdana" w:eastAsia="Times New Roman" w:hAnsi="Verdana" w:cs="Times New Roman"/>
                <w:sz w:val="24"/>
                <w:szCs w:val="24"/>
                <w:lang w:eastAsia="pt-BR"/>
              </w:rPr>
            </w:pPr>
            <w:r w:rsidRPr="00E86EBA">
              <w:rPr>
                <w:rFonts w:ascii="Verdana" w:eastAsia="Times New Roman" w:hAnsi="Verdana" w:cs="Times New Roman"/>
                <w:sz w:val="24"/>
                <w:szCs w:val="24"/>
                <w:lang w:eastAsia="pt-BR"/>
              </w:rPr>
              <w:t>CONSIDERANDO a necessidade de promover as comunidades remanescentes dos quilombos no propósito de ver-lhes respeitados os direitos assegurados na constituição federal e estadual;</w:t>
            </w:r>
          </w:p>
          <w:p w:rsidR="00114A20" w:rsidRPr="00E86EBA" w:rsidRDefault="00114A20" w:rsidP="008F5986">
            <w:pPr>
              <w:snapToGrid w:val="0"/>
              <w:spacing w:after="120"/>
              <w:jc w:val="both"/>
              <w:rPr>
                <w:rFonts w:ascii="Verdana" w:eastAsia="Times New Roman" w:hAnsi="Verdana" w:cs="Times New Roman"/>
                <w:sz w:val="24"/>
                <w:szCs w:val="24"/>
                <w:lang w:eastAsia="pt-BR"/>
              </w:rPr>
            </w:pPr>
            <w:r w:rsidRPr="00E86EBA">
              <w:rPr>
                <w:rFonts w:ascii="Verdana" w:eastAsia="Times New Roman" w:hAnsi="Verdana" w:cs="Times New Roman"/>
                <w:sz w:val="24"/>
                <w:szCs w:val="24"/>
                <w:lang w:eastAsia="pt-BR"/>
              </w:rPr>
              <w:t xml:space="preserve">CONSIDERANDO que é dever do Poder Público garantir a </w:t>
            </w:r>
            <w:proofErr w:type="spellStart"/>
            <w:proofErr w:type="gramStart"/>
            <w:r w:rsidRPr="00E86EBA">
              <w:rPr>
                <w:rFonts w:ascii="Verdana" w:eastAsia="Times New Roman" w:hAnsi="Verdana" w:cs="Times New Roman"/>
                <w:sz w:val="24"/>
                <w:szCs w:val="24"/>
                <w:lang w:eastAsia="pt-BR"/>
              </w:rPr>
              <w:t>auto-sustentabilidade</w:t>
            </w:r>
            <w:proofErr w:type="spellEnd"/>
            <w:proofErr w:type="gramEnd"/>
            <w:r w:rsidRPr="00E86EBA">
              <w:rPr>
                <w:rFonts w:ascii="Verdana" w:eastAsia="Times New Roman" w:hAnsi="Verdana" w:cs="Times New Roman"/>
                <w:sz w:val="24"/>
                <w:szCs w:val="24"/>
                <w:lang w:eastAsia="pt-BR"/>
              </w:rPr>
              <w:t xml:space="preserve"> destas comunidades;</w:t>
            </w:r>
          </w:p>
          <w:p w:rsidR="00114A20" w:rsidRPr="00E86EBA" w:rsidRDefault="00114A20" w:rsidP="008F5986">
            <w:pPr>
              <w:snapToGrid w:val="0"/>
              <w:spacing w:after="120"/>
              <w:jc w:val="both"/>
              <w:rPr>
                <w:rFonts w:ascii="Verdana" w:eastAsia="Times New Roman" w:hAnsi="Verdana" w:cs="Times New Roman"/>
                <w:sz w:val="24"/>
                <w:szCs w:val="24"/>
                <w:lang w:eastAsia="pt-BR"/>
              </w:rPr>
            </w:pPr>
            <w:r w:rsidRPr="00E86EBA">
              <w:rPr>
                <w:rFonts w:ascii="Verdana" w:eastAsia="Times New Roman" w:hAnsi="Verdana" w:cs="Times New Roman"/>
                <w:sz w:val="24"/>
                <w:szCs w:val="24"/>
                <w:lang w:eastAsia="pt-BR"/>
              </w:rPr>
              <w:t>CONSIDERANDO que é indispensável o apoio técnico, material e financeiro para que essas comunidades se desenvolvam, social e economicamente, em harmonia com as suas tradições, costumes, culturas e outros valores materiais e imateriais, que cabe ao ESTADO preservar, conforme determinam os Art. 215 e 21a da Constituição federal;</w:t>
            </w:r>
          </w:p>
          <w:p w:rsidR="00114A20" w:rsidRPr="00E86EBA" w:rsidRDefault="00114A20" w:rsidP="008F5986">
            <w:pPr>
              <w:snapToGrid w:val="0"/>
              <w:spacing w:after="120"/>
              <w:jc w:val="both"/>
              <w:rPr>
                <w:rFonts w:ascii="Times New Roman" w:eastAsia="Times New Roman" w:hAnsi="Times New Roman" w:cs="Times New Roman"/>
                <w:sz w:val="24"/>
                <w:szCs w:val="24"/>
                <w:lang w:eastAsia="pt-BR"/>
              </w:rPr>
            </w:pPr>
            <w:r w:rsidRPr="00E86EBA">
              <w:rPr>
                <w:rFonts w:ascii="Verdana" w:eastAsia="Times New Roman" w:hAnsi="Verdana" w:cs="Tahoma"/>
                <w:sz w:val="24"/>
                <w:szCs w:val="24"/>
                <w:lang w:eastAsia="pt-BR"/>
              </w:rPr>
              <w:t>CONSIDERANDO</w:t>
            </w:r>
            <w:r w:rsidRPr="00E86EBA">
              <w:rPr>
                <w:rFonts w:ascii="Verdana" w:eastAsia="Times New Roman" w:hAnsi="Verdana" w:cs="Times New Roman"/>
                <w:sz w:val="24"/>
                <w:szCs w:val="24"/>
                <w:lang w:eastAsia="pt-BR"/>
              </w:rPr>
              <w:t xml:space="preserve"> que a </w:t>
            </w:r>
            <w:r w:rsidRPr="00E86EBA">
              <w:rPr>
                <w:rFonts w:ascii="Verdana" w:eastAsia="Times New Roman" w:hAnsi="Verdana" w:cs="Tahoma"/>
                <w:sz w:val="24"/>
                <w:szCs w:val="24"/>
                <w:lang w:eastAsia="pt-BR"/>
              </w:rPr>
              <w:t>implantação do Território Estadual Quilombola (TEQ) leva em consideração as características territoriais, as formas de organização peculiares a cada grupo, preservando seus valores sociais e culturais, visando garantir a sustentabilidade ambiental e econômica destas comunidades;</w:t>
            </w:r>
          </w:p>
          <w:p w:rsidR="00114A20" w:rsidRPr="00E86EBA" w:rsidRDefault="00114A20" w:rsidP="008F5986">
            <w:pPr>
              <w:snapToGrid w:val="0"/>
              <w:spacing w:after="120"/>
              <w:jc w:val="both"/>
              <w:rPr>
                <w:rFonts w:ascii="Times New Roman" w:eastAsia="Times New Roman" w:hAnsi="Times New Roman" w:cs="Times New Roman"/>
                <w:sz w:val="24"/>
                <w:szCs w:val="24"/>
                <w:lang w:eastAsia="pt-BR"/>
              </w:rPr>
            </w:pPr>
            <w:r w:rsidRPr="00E86EBA">
              <w:rPr>
                <w:rFonts w:ascii="Verdana" w:eastAsia="Times New Roman" w:hAnsi="Verdana" w:cs="Tahoma"/>
                <w:sz w:val="24"/>
                <w:szCs w:val="24"/>
                <w:lang w:eastAsia="pt-BR"/>
              </w:rPr>
              <w:lastRenderedPageBreak/>
              <w:t>CONSIDERANDO</w:t>
            </w:r>
            <w:r w:rsidRPr="00E86EBA">
              <w:rPr>
                <w:rFonts w:ascii="Verdana" w:eastAsia="Times New Roman" w:hAnsi="Verdana" w:cs="Tahoma"/>
                <w:b/>
                <w:sz w:val="24"/>
                <w:szCs w:val="24"/>
                <w:lang w:eastAsia="pt-BR"/>
              </w:rPr>
              <w:t xml:space="preserve"> </w:t>
            </w:r>
            <w:r w:rsidRPr="00E86EBA">
              <w:rPr>
                <w:rFonts w:ascii="Verdana" w:eastAsia="Times New Roman" w:hAnsi="Verdana" w:cs="Tahoma"/>
                <w:sz w:val="24"/>
                <w:szCs w:val="24"/>
                <w:lang w:eastAsia="pt-BR"/>
              </w:rPr>
              <w:t>que os remanescentes das comunidades de quilombos, cujos territórios tenham sido reconhecidos de propriedade dos mesmos, serão incluídos entre os beneficiários das ações propostas nas políticas públicas afirmativas do governo federal e estadual;</w:t>
            </w:r>
          </w:p>
          <w:p w:rsidR="00114A20" w:rsidRPr="00E86EBA" w:rsidRDefault="00114A20" w:rsidP="008F5986">
            <w:pPr>
              <w:spacing w:after="0"/>
              <w:jc w:val="both"/>
              <w:rPr>
                <w:rFonts w:ascii="Verdana" w:eastAsia="Times New Roman" w:hAnsi="Verdana" w:cs="Times New Roman"/>
                <w:b/>
                <w:color w:val="FF0000"/>
                <w:sz w:val="24"/>
                <w:szCs w:val="24"/>
                <w:lang w:eastAsia="pt-BR"/>
              </w:rPr>
            </w:pPr>
            <w:r w:rsidRPr="00E86EBA">
              <w:rPr>
                <w:rFonts w:ascii="Verdana" w:eastAsia="Times New Roman" w:hAnsi="Verdana" w:cs="Tahoma"/>
                <w:sz w:val="24"/>
                <w:szCs w:val="24"/>
                <w:lang w:eastAsia="pt-BR"/>
              </w:rPr>
              <w:t>CONSIDERANDO</w:t>
            </w:r>
            <w:r w:rsidRPr="00E86EBA">
              <w:rPr>
                <w:rFonts w:ascii="Verdana" w:eastAsia="Times New Roman" w:hAnsi="Verdana" w:cs="Tahoma"/>
                <w:b/>
                <w:sz w:val="24"/>
                <w:szCs w:val="24"/>
                <w:lang w:eastAsia="pt-BR"/>
              </w:rPr>
              <w:t xml:space="preserve"> </w:t>
            </w:r>
            <w:r w:rsidRPr="00E86EBA">
              <w:rPr>
                <w:rFonts w:ascii="Verdana" w:eastAsia="Times New Roman" w:hAnsi="Verdana" w:cs="Times New Roman"/>
                <w:sz w:val="24"/>
                <w:szCs w:val="24"/>
                <w:lang w:eastAsia="pt-BR"/>
              </w:rPr>
              <w:t>que o governo do Estado do Pará, através do Instituto de Terras do Pará – ITERPA</w:t>
            </w:r>
            <w:proofErr w:type="gramStart"/>
            <w:r w:rsidRPr="00E86EBA">
              <w:rPr>
                <w:rFonts w:ascii="Verdana" w:eastAsia="Times New Roman" w:hAnsi="Verdana" w:cs="Times New Roman"/>
                <w:sz w:val="24"/>
                <w:szCs w:val="24"/>
                <w:lang w:eastAsia="pt-BR"/>
              </w:rPr>
              <w:t xml:space="preserve">, </w:t>
            </w:r>
            <w:r w:rsidRPr="00E86EBA">
              <w:rPr>
                <w:rFonts w:ascii="Verdana" w:eastAsia="Times New Roman" w:hAnsi="Verdana" w:cs="Tahoma"/>
                <w:sz w:val="24"/>
                <w:szCs w:val="24"/>
                <w:lang w:eastAsia="pt-BR"/>
              </w:rPr>
              <w:t>expediu</w:t>
            </w:r>
            <w:proofErr w:type="gramEnd"/>
            <w:r w:rsidRPr="00E86EBA">
              <w:rPr>
                <w:rFonts w:ascii="Verdana" w:eastAsia="Times New Roman" w:hAnsi="Verdana" w:cs="Tahoma"/>
                <w:sz w:val="24"/>
                <w:szCs w:val="24"/>
                <w:lang w:eastAsia="pt-BR"/>
              </w:rPr>
              <w:t xml:space="preserve"> em 13 de maio 2008, o Titulo de Reconhecimento de Domínio Coletivo em favor da Associação Comunitária de Remanescentes de Quilombos de </w:t>
            </w:r>
            <w:proofErr w:type="spellStart"/>
            <w:r w:rsidRPr="00E86EBA">
              <w:rPr>
                <w:rFonts w:ascii="Verdana" w:eastAsia="Times New Roman" w:hAnsi="Verdana" w:cs="Tahoma"/>
                <w:sz w:val="24"/>
                <w:szCs w:val="24"/>
                <w:lang w:eastAsia="pt-BR"/>
              </w:rPr>
              <w:t>Macapazinho</w:t>
            </w:r>
            <w:proofErr w:type="spellEnd"/>
            <w:r w:rsidRPr="00E86EBA">
              <w:rPr>
                <w:rFonts w:ascii="Verdana" w:eastAsia="Times New Roman" w:hAnsi="Verdana" w:cs="Tahoma"/>
                <w:sz w:val="24"/>
                <w:szCs w:val="24"/>
                <w:lang w:eastAsia="pt-BR"/>
              </w:rPr>
              <w:t xml:space="preserve"> área </w:t>
            </w:r>
            <w:r w:rsidRPr="00E86EBA">
              <w:rPr>
                <w:rFonts w:ascii="Verdana" w:eastAsia="Times New Roman" w:hAnsi="Verdana" w:cs="Times New Roman"/>
                <w:sz w:val="24"/>
                <w:szCs w:val="24"/>
                <w:lang w:eastAsia="pt-BR"/>
              </w:rPr>
              <w:t xml:space="preserve">de 93,2083 (noventa e três hectares vinte ares e oitenta e três </w:t>
            </w:r>
            <w:proofErr w:type="spellStart"/>
            <w:r w:rsidRPr="00E86EBA">
              <w:rPr>
                <w:rFonts w:ascii="Verdana" w:eastAsia="Times New Roman" w:hAnsi="Verdana" w:cs="Times New Roman"/>
                <w:sz w:val="24"/>
                <w:szCs w:val="24"/>
                <w:lang w:eastAsia="pt-BR"/>
              </w:rPr>
              <w:t>centiares</w:t>
            </w:r>
            <w:proofErr w:type="spellEnd"/>
            <w:r w:rsidRPr="00E86EBA">
              <w:rPr>
                <w:rFonts w:ascii="Verdana" w:eastAsia="Times New Roman" w:hAnsi="Verdana" w:cs="Times New Roman"/>
                <w:sz w:val="24"/>
                <w:szCs w:val="24"/>
                <w:lang w:eastAsia="pt-BR"/>
              </w:rPr>
              <w:t>), localizado no Município de Santa Isabel do Pará.</w:t>
            </w:r>
          </w:p>
          <w:p w:rsidR="00114A20" w:rsidRPr="00E86EBA" w:rsidRDefault="00114A20" w:rsidP="008F5986">
            <w:pPr>
              <w:snapToGrid w:val="0"/>
              <w:spacing w:after="120"/>
              <w:jc w:val="both"/>
              <w:rPr>
                <w:rFonts w:ascii="Verdana" w:eastAsia="Times New Roman" w:hAnsi="Verdana" w:cs="Times New Roman"/>
                <w:b/>
                <w:sz w:val="24"/>
                <w:szCs w:val="24"/>
                <w:lang w:eastAsia="pt-BR"/>
              </w:rPr>
            </w:pPr>
            <w:r w:rsidRPr="00E86EBA">
              <w:rPr>
                <w:rFonts w:ascii="Verdana" w:eastAsia="Times New Roman" w:hAnsi="Verdana" w:cs="Times New Roman"/>
                <w:b/>
                <w:sz w:val="24"/>
                <w:szCs w:val="24"/>
                <w:lang w:eastAsia="pt-BR"/>
              </w:rPr>
              <w:t>RESOLVE:</w:t>
            </w:r>
          </w:p>
          <w:p w:rsidR="00114A20" w:rsidRPr="00E86EBA" w:rsidRDefault="00114A20" w:rsidP="008F5986">
            <w:pPr>
              <w:spacing w:after="0"/>
              <w:jc w:val="both"/>
              <w:rPr>
                <w:rFonts w:ascii="Verdana" w:eastAsia="Times New Roman" w:hAnsi="Verdana" w:cs="Times New Roman"/>
                <w:b/>
                <w:color w:val="FF0000"/>
                <w:sz w:val="24"/>
                <w:szCs w:val="24"/>
                <w:lang w:eastAsia="pt-BR"/>
              </w:rPr>
            </w:pPr>
            <w:r w:rsidRPr="00E86EBA">
              <w:rPr>
                <w:rFonts w:ascii="Verdana" w:eastAsia="Times New Roman" w:hAnsi="Verdana" w:cs="Times New Roman"/>
                <w:sz w:val="24"/>
                <w:szCs w:val="24"/>
                <w:lang w:eastAsia="pt-BR"/>
              </w:rPr>
              <w:t xml:space="preserve">Art. 1° Criar o </w:t>
            </w:r>
            <w:r w:rsidRPr="00E86EBA">
              <w:rPr>
                <w:rFonts w:ascii="Verdana" w:eastAsia="Times New Roman" w:hAnsi="Verdana" w:cs="Times New Roman"/>
                <w:b/>
                <w:i/>
                <w:iCs/>
                <w:sz w:val="24"/>
                <w:szCs w:val="24"/>
                <w:lang w:eastAsia="pt-BR"/>
              </w:rPr>
              <w:t>TERRITÓRIO ESTADUAL QUILOMBOLA – TEQ MACAPAZINHO,</w:t>
            </w:r>
            <w:r w:rsidRPr="00E86EBA">
              <w:rPr>
                <w:rFonts w:ascii="Verdana" w:eastAsia="Times New Roman" w:hAnsi="Verdana" w:cs="Times New Roman"/>
                <w:i/>
                <w:iCs/>
                <w:sz w:val="24"/>
                <w:szCs w:val="24"/>
                <w:lang w:eastAsia="pt-BR"/>
              </w:rPr>
              <w:t xml:space="preserve"> </w:t>
            </w:r>
            <w:r w:rsidRPr="00E86EBA">
              <w:rPr>
                <w:rFonts w:ascii="Verdana" w:eastAsia="Times New Roman" w:hAnsi="Verdana" w:cs="Times New Roman"/>
                <w:sz w:val="24"/>
                <w:szCs w:val="24"/>
                <w:lang w:eastAsia="pt-BR"/>
              </w:rPr>
              <w:t xml:space="preserve">com área de 93,2083 (noventa e três hectares vinte ares e oitenta e três </w:t>
            </w:r>
            <w:proofErr w:type="spellStart"/>
            <w:r w:rsidRPr="00E86EBA">
              <w:rPr>
                <w:rFonts w:ascii="Verdana" w:eastAsia="Times New Roman" w:hAnsi="Verdana" w:cs="Times New Roman"/>
                <w:sz w:val="24"/>
                <w:szCs w:val="24"/>
                <w:lang w:eastAsia="pt-BR"/>
              </w:rPr>
              <w:t>centiares</w:t>
            </w:r>
            <w:proofErr w:type="spellEnd"/>
            <w:r w:rsidRPr="00E86EBA">
              <w:rPr>
                <w:rFonts w:ascii="Verdana" w:eastAsia="Times New Roman" w:hAnsi="Verdana" w:cs="Times New Roman"/>
                <w:sz w:val="24"/>
                <w:szCs w:val="24"/>
                <w:lang w:eastAsia="pt-BR"/>
              </w:rPr>
              <w:t>), localizado no Município de Santa Isabel do Pará.</w:t>
            </w:r>
            <w:r w:rsidRPr="00E86EBA">
              <w:rPr>
                <w:rFonts w:ascii="Verdana" w:eastAsia="Times New Roman" w:hAnsi="Verdana" w:cs="Times New Roman"/>
                <w:b/>
                <w:sz w:val="24"/>
                <w:szCs w:val="24"/>
                <w:lang w:eastAsia="pt-BR"/>
              </w:rPr>
              <w:t xml:space="preserve"> </w:t>
            </w:r>
            <w:r w:rsidRPr="00E86EBA">
              <w:rPr>
                <w:rFonts w:ascii="Verdana" w:eastAsia="Times New Roman" w:hAnsi="Verdana" w:cs="Times New Roman"/>
                <w:sz w:val="24"/>
                <w:szCs w:val="24"/>
                <w:lang w:eastAsia="pt-BR"/>
              </w:rPr>
              <w:t xml:space="preserve">Estado do Pará que prevê o assentamento de 39 (trinta e nove) famílias. </w:t>
            </w:r>
          </w:p>
          <w:p w:rsidR="00114A20" w:rsidRPr="00E86EBA" w:rsidRDefault="00114A20" w:rsidP="008F5986">
            <w:pPr>
              <w:spacing w:before="240" w:after="120"/>
              <w:ind w:left="11"/>
              <w:jc w:val="both"/>
              <w:rPr>
                <w:rFonts w:ascii="Verdana" w:eastAsia="Times New Roman" w:hAnsi="Verdana" w:cs="Times New Roman"/>
                <w:sz w:val="24"/>
                <w:szCs w:val="24"/>
                <w:lang w:eastAsia="pt-BR"/>
              </w:rPr>
            </w:pPr>
            <w:r w:rsidRPr="00E86EBA">
              <w:rPr>
                <w:rFonts w:ascii="Verdana" w:eastAsia="Times New Roman" w:hAnsi="Verdana" w:cs="Times New Roman"/>
                <w:sz w:val="24"/>
                <w:szCs w:val="24"/>
                <w:lang w:eastAsia="pt-BR"/>
              </w:rPr>
              <w:t xml:space="preserve">Art. 2º O Presidente do ITERPA, em articulação com as diretorias da Autarquia, adotará as providências necessárias para sua </w:t>
            </w:r>
            <w:proofErr w:type="gramStart"/>
            <w:r w:rsidRPr="00E86EBA">
              <w:rPr>
                <w:rFonts w:ascii="Verdana" w:eastAsia="Times New Roman" w:hAnsi="Verdana" w:cs="Times New Roman"/>
                <w:sz w:val="24"/>
                <w:szCs w:val="24"/>
                <w:lang w:eastAsia="pt-BR"/>
              </w:rPr>
              <w:t>implementação</w:t>
            </w:r>
            <w:proofErr w:type="gramEnd"/>
            <w:r w:rsidRPr="00E86EBA">
              <w:rPr>
                <w:rFonts w:ascii="Verdana" w:eastAsia="Times New Roman" w:hAnsi="Verdana" w:cs="Times New Roman"/>
                <w:sz w:val="24"/>
                <w:szCs w:val="24"/>
                <w:lang w:eastAsia="pt-BR"/>
              </w:rPr>
              <w:t xml:space="preserve"> e comunicará o reconhecimento da condição quilombola da comunidade aos órgãos estaduais e federais competentes.</w:t>
            </w:r>
          </w:p>
          <w:p w:rsidR="00114A20" w:rsidRPr="00E86EBA" w:rsidRDefault="00114A20" w:rsidP="008F5986">
            <w:pPr>
              <w:spacing w:after="283"/>
              <w:jc w:val="both"/>
              <w:rPr>
                <w:rFonts w:ascii="Times New Roman" w:eastAsia="Times New Roman" w:hAnsi="Times New Roman" w:cs="Times New Roman"/>
                <w:sz w:val="24"/>
                <w:szCs w:val="24"/>
                <w:lang w:eastAsia="pt-BR"/>
              </w:rPr>
            </w:pPr>
            <w:r w:rsidRPr="00E86EBA">
              <w:rPr>
                <w:rFonts w:ascii="Verdana" w:eastAsia="Times New Roman" w:hAnsi="Verdana" w:cs="Times New Roman"/>
                <w:b/>
                <w:sz w:val="24"/>
                <w:szCs w:val="24"/>
                <w:lang w:eastAsia="pt-BR"/>
              </w:rPr>
              <w:t>REGISTRE-SE E PUBLIQUE-SE.</w:t>
            </w:r>
          </w:p>
          <w:p w:rsidR="00114A20" w:rsidRPr="00E86EBA" w:rsidRDefault="00114A20" w:rsidP="008F5986">
            <w:pPr>
              <w:spacing w:after="283"/>
              <w:jc w:val="both"/>
              <w:rPr>
                <w:rFonts w:ascii="Times New Roman" w:eastAsia="Times New Roman" w:hAnsi="Times New Roman" w:cs="Times New Roman"/>
                <w:sz w:val="24"/>
                <w:szCs w:val="24"/>
                <w:lang w:eastAsia="pt-BR"/>
              </w:rPr>
            </w:pPr>
            <w:r w:rsidRPr="00E86EBA">
              <w:rPr>
                <w:rFonts w:ascii="Verdana" w:eastAsia="Times New Roman" w:hAnsi="Verdana" w:cs="Times New Roman"/>
                <w:b/>
                <w:sz w:val="24"/>
                <w:szCs w:val="24"/>
                <w:lang w:eastAsia="pt-BR"/>
              </w:rPr>
              <w:t xml:space="preserve">José </w:t>
            </w:r>
            <w:proofErr w:type="spellStart"/>
            <w:r w:rsidRPr="00E86EBA">
              <w:rPr>
                <w:rFonts w:ascii="Verdana" w:eastAsia="Times New Roman" w:hAnsi="Verdana" w:cs="Times New Roman"/>
                <w:b/>
                <w:sz w:val="24"/>
                <w:szCs w:val="24"/>
                <w:lang w:eastAsia="pt-BR"/>
              </w:rPr>
              <w:t>Heder</w:t>
            </w:r>
            <w:proofErr w:type="spellEnd"/>
            <w:r w:rsidRPr="00E86EBA">
              <w:rPr>
                <w:rFonts w:ascii="Verdana" w:eastAsia="Times New Roman" w:hAnsi="Verdana" w:cs="Times New Roman"/>
                <w:b/>
                <w:sz w:val="24"/>
                <w:szCs w:val="24"/>
                <w:lang w:eastAsia="pt-BR"/>
              </w:rPr>
              <w:t xml:space="preserve"> </w:t>
            </w:r>
            <w:proofErr w:type="spellStart"/>
            <w:r w:rsidRPr="00E86EBA">
              <w:rPr>
                <w:rFonts w:ascii="Verdana" w:eastAsia="Times New Roman" w:hAnsi="Verdana" w:cs="Times New Roman"/>
                <w:b/>
                <w:sz w:val="24"/>
                <w:szCs w:val="24"/>
                <w:lang w:eastAsia="pt-BR"/>
              </w:rPr>
              <w:t>Benatti</w:t>
            </w:r>
            <w:proofErr w:type="spellEnd"/>
          </w:p>
          <w:p w:rsidR="00114A20" w:rsidRPr="00E86EBA" w:rsidRDefault="00114A20" w:rsidP="008F5986">
            <w:pPr>
              <w:spacing w:after="283"/>
              <w:jc w:val="both"/>
              <w:rPr>
                <w:rFonts w:ascii="Verdana" w:eastAsia="Times New Roman" w:hAnsi="Verdana" w:cs="Times New Roman"/>
                <w:sz w:val="24"/>
                <w:szCs w:val="24"/>
                <w:lang w:eastAsia="pt-BR"/>
              </w:rPr>
            </w:pPr>
            <w:r w:rsidRPr="00E86EBA">
              <w:rPr>
                <w:rFonts w:ascii="Verdana" w:eastAsia="Times New Roman" w:hAnsi="Verdana" w:cs="Times New Roman"/>
                <w:b/>
                <w:sz w:val="24"/>
                <w:szCs w:val="24"/>
                <w:lang w:eastAsia="pt-BR"/>
              </w:rPr>
              <w:t>Presidente</w:t>
            </w:r>
          </w:p>
        </w:tc>
      </w:tr>
    </w:tbl>
    <w:p w:rsidR="00BC3516" w:rsidRPr="00D856EC" w:rsidRDefault="00BC3516" w:rsidP="00D856EC">
      <w:bookmarkStart w:id="0" w:name="_GoBack"/>
      <w:bookmarkEnd w:id="0"/>
    </w:p>
    <w:sectPr w:rsidR="00BC3516" w:rsidRPr="00D856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261"/>
    <w:rsid w:val="00114A20"/>
    <w:rsid w:val="0066676D"/>
    <w:rsid w:val="00904261"/>
    <w:rsid w:val="00BC3516"/>
    <w:rsid w:val="00D856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A2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6676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66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A2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6676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66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2403</Characters>
  <Application>Microsoft Office Word</Application>
  <DocSecurity>0</DocSecurity>
  <Lines>20</Lines>
  <Paragraphs>5</Paragraphs>
  <ScaleCrop>false</ScaleCrop>
  <Company>Instituto de Terras do Pará</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Roza Marlene Modolo</dc:creator>
  <cp:keywords/>
  <dc:description/>
  <cp:lastModifiedBy>Roza Marlene Modolo</cp:lastModifiedBy>
  <cp:revision>4</cp:revision>
  <dcterms:created xsi:type="dcterms:W3CDTF">2011-02-03T13:45:00Z</dcterms:created>
  <dcterms:modified xsi:type="dcterms:W3CDTF">2011-02-03T15:28:00Z</dcterms:modified>
</cp:coreProperties>
</file>