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5F" w:rsidRPr="00065D5F" w:rsidRDefault="00065D5F" w:rsidP="00065D5F">
      <w:pPr>
        <w:spacing w:after="0" w:line="240" w:lineRule="auto"/>
        <w:jc w:val="center"/>
        <w:rPr>
          <w:rFonts w:ascii="Calibri" w:eastAsia="Times New Roman" w:hAnsi="Calibri" w:cs="Calibri"/>
          <w:color w:val="000000"/>
          <w:lang w:eastAsia="pt-BR"/>
        </w:rPr>
      </w:pPr>
      <w:r w:rsidRPr="00065D5F">
        <w:rPr>
          <w:rFonts w:ascii="Arial" w:eastAsia="Times New Roman" w:hAnsi="Arial" w:cs="Arial"/>
          <w:b/>
          <w:bCs/>
          <w:color w:val="000000"/>
          <w:sz w:val="24"/>
          <w:szCs w:val="24"/>
          <w:lang w:eastAsia="pt-BR"/>
        </w:rPr>
        <w:t>DIARIO OFICIAL Nº 32922 de 07 de julho de 2015</w:t>
      </w:r>
    </w:p>
    <w:p w:rsidR="00065D5F" w:rsidRPr="00065D5F" w:rsidRDefault="00065D5F" w:rsidP="00065D5F">
      <w:pPr>
        <w:spacing w:after="0" w:line="240" w:lineRule="auto"/>
        <w:jc w:val="center"/>
        <w:rPr>
          <w:rFonts w:ascii="Calibri" w:eastAsia="Times New Roman" w:hAnsi="Calibri" w:cs="Calibri"/>
          <w:color w:val="000000"/>
          <w:lang w:eastAsia="pt-BR"/>
        </w:rPr>
      </w:pPr>
      <w:r w:rsidRPr="00065D5F">
        <w:rPr>
          <w:rFonts w:ascii="Arial" w:eastAsia="Times New Roman" w:hAnsi="Arial" w:cs="Arial"/>
          <w:b/>
          <w:bCs/>
          <w:color w:val="000000"/>
          <w:sz w:val="24"/>
          <w:szCs w:val="24"/>
          <w:lang w:eastAsia="pt-BR"/>
        </w:rPr>
        <w:t> </w:t>
      </w:r>
    </w:p>
    <w:p w:rsidR="00065D5F" w:rsidRPr="00065D5F" w:rsidRDefault="00065D5F" w:rsidP="00065D5F">
      <w:pPr>
        <w:spacing w:after="0" w:line="240" w:lineRule="auto"/>
        <w:jc w:val="center"/>
        <w:rPr>
          <w:rFonts w:ascii="Calibri" w:eastAsia="Times New Roman" w:hAnsi="Calibri" w:cs="Calibri"/>
          <w:color w:val="000000"/>
          <w:lang w:eastAsia="pt-BR"/>
        </w:rPr>
      </w:pPr>
      <w:r w:rsidRPr="00065D5F">
        <w:rPr>
          <w:rFonts w:ascii="Arial" w:eastAsia="Times New Roman" w:hAnsi="Arial" w:cs="Arial"/>
          <w:b/>
          <w:bCs/>
          <w:color w:val="000000"/>
          <w:sz w:val="24"/>
          <w:szCs w:val="24"/>
          <w:lang w:eastAsia="pt-BR"/>
        </w:rPr>
        <w:t xml:space="preserve">CONSELHO ESTADUAL DE POLITICA AGRÍCOLA, </w:t>
      </w:r>
      <w:proofErr w:type="gramStart"/>
      <w:r w:rsidRPr="00065D5F">
        <w:rPr>
          <w:rFonts w:ascii="Arial" w:eastAsia="Times New Roman" w:hAnsi="Arial" w:cs="Arial"/>
          <w:b/>
          <w:bCs/>
          <w:color w:val="000000"/>
          <w:sz w:val="24"/>
          <w:szCs w:val="24"/>
          <w:lang w:eastAsia="pt-BR"/>
        </w:rPr>
        <w:t>AGRÁRIA,  E</w:t>
      </w:r>
      <w:proofErr w:type="gramEnd"/>
      <w:r w:rsidRPr="00065D5F">
        <w:rPr>
          <w:rFonts w:ascii="Arial" w:eastAsia="Times New Roman" w:hAnsi="Arial" w:cs="Arial"/>
          <w:b/>
          <w:bCs/>
          <w:color w:val="000000"/>
          <w:sz w:val="24"/>
          <w:szCs w:val="24"/>
          <w:lang w:eastAsia="pt-BR"/>
        </w:rPr>
        <w:t xml:space="preserve"> FUNDIÁRIA DO PARÁ- CEPAF</w:t>
      </w:r>
    </w:p>
    <w:p w:rsidR="00065D5F" w:rsidRPr="00065D5F" w:rsidRDefault="00065D5F" w:rsidP="00065D5F">
      <w:pPr>
        <w:spacing w:after="0" w:line="240" w:lineRule="auto"/>
        <w:jc w:val="center"/>
        <w:rPr>
          <w:rFonts w:ascii="Calibri" w:eastAsia="Times New Roman" w:hAnsi="Calibri" w:cs="Calibri"/>
          <w:color w:val="000000"/>
          <w:lang w:eastAsia="pt-BR"/>
        </w:rPr>
      </w:pPr>
      <w:r w:rsidRPr="00065D5F">
        <w:rPr>
          <w:rFonts w:ascii="Arial" w:eastAsia="Times New Roman" w:hAnsi="Arial" w:cs="Arial"/>
          <w:b/>
          <w:bCs/>
          <w:color w:val="000000"/>
          <w:sz w:val="24"/>
          <w:szCs w:val="24"/>
          <w:lang w:eastAsia="pt-BR"/>
        </w:rPr>
        <w:t> </w:t>
      </w:r>
    </w:p>
    <w:p w:rsidR="00065D5F" w:rsidRPr="00065D5F" w:rsidRDefault="00065D5F" w:rsidP="00065D5F">
      <w:pPr>
        <w:spacing w:after="0" w:line="240" w:lineRule="auto"/>
        <w:jc w:val="center"/>
        <w:rPr>
          <w:rFonts w:ascii="Calibri" w:eastAsia="Times New Roman" w:hAnsi="Calibri" w:cs="Calibri"/>
          <w:color w:val="000000"/>
          <w:lang w:eastAsia="pt-BR"/>
        </w:rPr>
      </w:pPr>
      <w:r w:rsidRPr="00065D5F">
        <w:rPr>
          <w:rFonts w:ascii="Arial" w:eastAsia="Times New Roman" w:hAnsi="Arial" w:cs="Arial"/>
          <w:b/>
          <w:bCs/>
          <w:color w:val="000000"/>
          <w:sz w:val="24"/>
          <w:szCs w:val="24"/>
          <w:lang w:eastAsia="pt-BR"/>
        </w:rPr>
        <w:t>RESOLUÇÃO CEPAF Nº 001, DE 30 DE JUNHO DE 2015.</w:t>
      </w:r>
    </w:p>
    <w:p w:rsidR="00065D5F" w:rsidRPr="00065D5F" w:rsidRDefault="00065D5F" w:rsidP="00065D5F">
      <w:pPr>
        <w:spacing w:after="0" w:line="240" w:lineRule="auto"/>
        <w:jc w:val="center"/>
        <w:rPr>
          <w:rFonts w:ascii="Calibri" w:eastAsia="Times New Roman" w:hAnsi="Calibri" w:cs="Calibri"/>
          <w:color w:val="000000"/>
          <w:lang w:eastAsia="pt-BR"/>
        </w:rPr>
      </w:pPr>
      <w:r w:rsidRPr="00065D5F">
        <w:rPr>
          <w:rFonts w:ascii="Arial" w:eastAsia="Times New Roman" w:hAnsi="Arial" w:cs="Arial"/>
          <w:b/>
          <w:bCs/>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Estabelece o Valor da Terra Nua (VTN) para regularização onerosa de terras públicas do Estado Pará e dá outras providências.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xml:space="preserve">O Conselho Estadual de Política Agrícola, Agrária e Fundiária do Pará - CEPAF no uso das atribuições que lhe foram conferidas pelo art. 240, da Constituição Estadual, combinado com o art.  37, da Lei nº 5.489, de 24 de junho de 1994, de estabelecer os valores de terra nua a serem aplicados nas regularizações onerosas de terras </w:t>
      </w:r>
      <w:proofErr w:type="spellStart"/>
      <w:r w:rsidRPr="00065D5F">
        <w:rPr>
          <w:rFonts w:ascii="Arial" w:eastAsia="Times New Roman" w:hAnsi="Arial" w:cs="Arial"/>
          <w:color w:val="000000"/>
          <w:sz w:val="24"/>
          <w:szCs w:val="24"/>
          <w:lang w:eastAsia="pt-BR"/>
        </w:rPr>
        <w:t>publicas</w:t>
      </w:r>
      <w:proofErr w:type="spellEnd"/>
      <w:r w:rsidRPr="00065D5F">
        <w:rPr>
          <w:rFonts w:ascii="Arial" w:eastAsia="Times New Roman" w:hAnsi="Arial" w:cs="Arial"/>
          <w:color w:val="000000"/>
          <w:sz w:val="24"/>
          <w:szCs w:val="24"/>
          <w:lang w:eastAsia="pt-BR"/>
        </w:rPr>
        <w:t xml:space="preserve"> estaduais, 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xml:space="preserve">Considerando que é dever da Administração </w:t>
      </w:r>
      <w:proofErr w:type="gramStart"/>
      <w:r w:rsidRPr="00065D5F">
        <w:rPr>
          <w:rFonts w:ascii="Arial" w:eastAsia="Times New Roman" w:hAnsi="Arial" w:cs="Arial"/>
          <w:color w:val="000000"/>
          <w:sz w:val="24"/>
          <w:szCs w:val="24"/>
          <w:lang w:eastAsia="pt-BR"/>
        </w:rPr>
        <w:t>estipular,  periodicamente</w:t>
      </w:r>
      <w:proofErr w:type="gramEnd"/>
      <w:r w:rsidRPr="00065D5F">
        <w:rPr>
          <w:rFonts w:ascii="Arial" w:eastAsia="Times New Roman" w:hAnsi="Arial" w:cs="Arial"/>
          <w:color w:val="000000"/>
          <w:sz w:val="24"/>
          <w:szCs w:val="24"/>
          <w:lang w:eastAsia="pt-BR"/>
        </w:rPr>
        <w:t>, os valores a serem cobrados nos casos de  regularização onerosa e demais processos, em curso, no ITERPA, como forma de preservar o interesse público em geral;</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Considerando a necessidade da adoção de parâmetros técnicos de fácil aferição e transparência, contabilizando aspectos existentes na área em processo de regularização;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Considerando, finalmente, os estudos técnicos realizados pelo ITERPA, com o objetivo de determinar o preço das terras públicas pertencentes ao Estado do Pará, observadas as peculiaridades econômicas municipais em cada microrregião homogênea;</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R E S O L V 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1º ESTABELECER que o valor da Terra Nua (VTN), para fins de regularização fundiária onerosa de terras públicas do Estado, será fixado com base nos preços praticados no mercado imobiliário rural, observados os critérios estabelecidos nessa resolução.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CAPÍTULO I</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DOS CRITÉRIOS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2º O cálculo do VTN adota os fatores distância, ancianidade, acesso e dimensão da área, sobre os quais incidirão índices correspondentes às características do imóvel, que exercem influência no valor de referência do hectare do município.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CAPÍTULO II</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DOS FATORES E ÍNDICES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3º O fator Distância da área expressa influência sobre o valor do imóvel rural decorrente de sua localização em relação à sede do município ou ao núcleo urbano mais próximo. O índice aplicado diminui em função do aumento da distância, conforme tabela a seguir:</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Fator distância (</w:t>
      </w:r>
      <w:proofErr w:type="spellStart"/>
      <w:r w:rsidRPr="00065D5F">
        <w:rPr>
          <w:rFonts w:ascii="Arial" w:eastAsia="Times New Roman" w:hAnsi="Arial" w:cs="Arial"/>
          <w:color w:val="000000"/>
          <w:sz w:val="24"/>
          <w:szCs w:val="24"/>
          <w:lang w:eastAsia="pt-BR"/>
        </w:rPr>
        <w:t>IFa</w:t>
      </w:r>
      <w:proofErr w:type="spellEnd"/>
      <w:r w:rsidRPr="00065D5F">
        <w:rPr>
          <w:rFonts w:ascii="Arial" w:eastAsia="Times New Roman" w:hAnsi="Arial" w:cs="Arial"/>
          <w:color w:val="000000"/>
          <w:sz w:val="24"/>
          <w:szCs w:val="24"/>
          <w:lang w:eastAsia="pt-BR"/>
        </w:rPr>
        <w:t>) Índice</w:t>
      </w:r>
    </w:p>
    <w:tbl>
      <w:tblPr>
        <w:tblW w:w="0" w:type="auto"/>
        <w:tblCellMar>
          <w:left w:w="0" w:type="dxa"/>
          <w:right w:w="0" w:type="dxa"/>
        </w:tblCellMar>
        <w:tblLook w:val="04A0" w:firstRow="1" w:lastRow="0" w:firstColumn="1" w:lastColumn="0" w:noHBand="0" w:noVBand="1"/>
      </w:tblPr>
      <w:tblGrid>
        <w:gridCol w:w="4243"/>
        <w:gridCol w:w="4241"/>
      </w:tblGrid>
      <w:tr w:rsidR="00065D5F" w:rsidRPr="00065D5F" w:rsidTr="00065D5F">
        <w:tc>
          <w:tcPr>
            <w:tcW w:w="4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Até 15 km</w:t>
            </w:r>
          </w:p>
        </w:tc>
        <w:tc>
          <w:tcPr>
            <w:tcW w:w="4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0,950</w:t>
            </w:r>
          </w:p>
        </w:tc>
      </w:tr>
      <w:tr w:rsidR="00065D5F" w:rsidRPr="00065D5F" w:rsidTr="00065D5F">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Acima de 15 km a 30 km</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0,860</w:t>
            </w:r>
          </w:p>
        </w:tc>
      </w:tr>
      <w:tr w:rsidR="00065D5F" w:rsidRPr="00065D5F" w:rsidTr="00065D5F">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lastRenderedPageBreak/>
              <w:t>Acima de 30 km a 50 km</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0,770</w:t>
            </w:r>
          </w:p>
        </w:tc>
      </w:tr>
      <w:tr w:rsidR="00065D5F" w:rsidRPr="00065D5F" w:rsidTr="00065D5F">
        <w:tc>
          <w:tcPr>
            <w:tcW w:w="4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Acima de 50 Km</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0,680</w:t>
            </w:r>
          </w:p>
        </w:tc>
      </w:tr>
    </w:tbl>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Art.4° O fator acesso à área expressa influência sobre o valor do imóvel rural decorrente da via de acesso conforme tabela a seguir.</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tbl>
      <w:tblPr>
        <w:tblW w:w="0" w:type="auto"/>
        <w:tblCellMar>
          <w:left w:w="0" w:type="dxa"/>
          <w:right w:w="0" w:type="dxa"/>
        </w:tblCellMar>
        <w:tblLook w:val="04A0" w:firstRow="1" w:lastRow="0" w:firstColumn="1" w:lastColumn="0" w:noHBand="0" w:noVBand="1"/>
      </w:tblPr>
      <w:tblGrid>
        <w:gridCol w:w="4289"/>
        <w:gridCol w:w="4195"/>
      </w:tblGrid>
      <w:tr w:rsidR="00065D5F" w:rsidRPr="00065D5F" w:rsidTr="00065D5F">
        <w:tc>
          <w:tcPr>
            <w:tcW w:w="4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Fator Acesso (</w:t>
            </w:r>
            <w:proofErr w:type="spellStart"/>
            <w:r w:rsidRPr="00065D5F">
              <w:rPr>
                <w:rFonts w:ascii="Arial" w:eastAsia="Times New Roman" w:hAnsi="Arial" w:cs="Arial"/>
                <w:sz w:val="24"/>
                <w:szCs w:val="24"/>
                <w:lang w:eastAsia="pt-BR"/>
              </w:rPr>
              <w:t>IFb</w:t>
            </w:r>
            <w:proofErr w:type="spellEnd"/>
            <w:r w:rsidRPr="00065D5F">
              <w:rPr>
                <w:rFonts w:ascii="Arial" w:eastAsia="Times New Roman" w:hAnsi="Arial" w:cs="Arial"/>
                <w:sz w:val="24"/>
                <w:szCs w:val="24"/>
                <w:lang w:eastAsia="pt-BR"/>
              </w:rPr>
              <w:t>)</w:t>
            </w:r>
          </w:p>
        </w:tc>
        <w:tc>
          <w:tcPr>
            <w:tcW w:w="4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Índice</w:t>
            </w:r>
          </w:p>
        </w:tc>
      </w:tr>
      <w:tr w:rsidR="00065D5F" w:rsidRPr="00065D5F" w:rsidTr="00065D5F">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Rodovia via rural pavimentada.</w:t>
            </w:r>
          </w:p>
        </w:tc>
        <w:tc>
          <w:tcPr>
            <w:tcW w:w="428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0,95</w:t>
            </w:r>
          </w:p>
        </w:tc>
      </w:tr>
      <w:tr w:rsidR="00065D5F" w:rsidRPr="00065D5F" w:rsidTr="00065D5F">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Estrada - via rural não pavimentada.</w:t>
            </w:r>
          </w:p>
        </w:tc>
        <w:tc>
          <w:tcPr>
            <w:tcW w:w="428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0,75</w:t>
            </w:r>
          </w:p>
        </w:tc>
      </w:tr>
      <w:tr w:rsidR="00065D5F" w:rsidRPr="00065D5F" w:rsidTr="00065D5F">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Navegação</w:t>
            </w:r>
          </w:p>
        </w:tc>
        <w:tc>
          <w:tcPr>
            <w:tcW w:w="428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0,65</w:t>
            </w:r>
          </w:p>
        </w:tc>
      </w:tr>
    </w:tbl>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Parágrafo Único.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O fator é adotado individualmente e por exclusão, aplicando-se o índice de navegação, se houver no percurso do acesso transporte fluvial; o índice referente à estrada, se o percurso incluir trecho de estrada, sem navegação;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o índice referente à Rodovia, se o acesso à área se der apenas por esta modalidade.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5° O fator Ancianidade leva em conta o tempo de ocupação da área objeto de regularização, nos termos da tabela a seguir:</w:t>
      </w:r>
    </w:p>
    <w:tbl>
      <w:tblPr>
        <w:tblW w:w="0" w:type="auto"/>
        <w:tblCellMar>
          <w:left w:w="0" w:type="dxa"/>
          <w:right w:w="0" w:type="dxa"/>
        </w:tblCellMar>
        <w:tblLook w:val="04A0" w:firstRow="1" w:lastRow="0" w:firstColumn="1" w:lastColumn="0" w:noHBand="0" w:noVBand="1"/>
      </w:tblPr>
      <w:tblGrid>
        <w:gridCol w:w="4361"/>
        <w:gridCol w:w="1402"/>
      </w:tblGrid>
      <w:tr w:rsidR="00065D5F" w:rsidRPr="00065D5F" w:rsidTr="00065D5F">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Fator Tempo de Ocupação (</w:t>
            </w:r>
            <w:proofErr w:type="spellStart"/>
            <w:r w:rsidRPr="00065D5F">
              <w:rPr>
                <w:rFonts w:ascii="Arial" w:eastAsia="Times New Roman" w:hAnsi="Arial" w:cs="Arial"/>
                <w:sz w:val="24"/>
                <w:szCs w:val="24"/>
                <w:lang w:eastAsia="pt-BR"/>
              </w:rPr>
              <w:t>IFc</w:t>
            </w:r>
            <w:proofErr w:type="spellEnd"/>
            <w:r w:rsidRPr="00065D5F">
              <w:rPr>
                <w:rFonts w:ascii="Arial" w:eastAsia="Times New Roman" w:hAnsi="Arial" w:cs="Arial"/>
                <w:sz w:val="24"/>
                <w:szCs w:val="24"/>
                <w:lang w:eastAsia="pt-BR"/>
              </w:rPr>
              <w:t>)</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Índice</w:t>
            </w:r>
          </w:p>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Até 5 anos</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0,65</w:t>
            </w:r>
          </w:p>
        </w:tc>
      </w:tr>
      <w:tr w:rsidR="00065D5F" w:rsidRPr="00065D5F" w:rsidTr="00065D5F">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Maior que 5 anos e menor 10 anos</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0,55</w:t>
            </w:r>
          </w:p>
        </w:tc>
      </w:tr>
      <w:tr w:rsidR="00065D5F" w:rsidRPr="00065D5F" w:rsidTr="00065D5F">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Maior e igual a 10 anos</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center"/>
              <w:rPr>
                <w:rFonts w:ascii="Calibri" w:eastAsia="Times New Roman" w:hAnsi="Calibri" w:cs="Calibri"/>
                <w:lang w:eastAsia="pt-BR"/>
              </w:rPr>
            </w:pPr>
            <w:r w:rsidRPr="00065D5F">
              <w:rPr>
                <w:rFonts w:ascii="Arial" w:eastAsia="Times New Roman" w:hAnsi="Arial" w:cs="Arial"/>
                <w:sz w:val="24"/>
                <w:szCs w:val="24"/>
                <w:lang w:eastAsia="pt-BR"/>
              </w:rPr>
              <w:t>0,45</w:t>
            </w:r>
          </w:p>
        </w:tc>
      </w:tr>
    </w:tbl>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xml:space="preserve">Art. 6° O fator Dimensão de área será extraído da aplicação da fórmula: </w:t>
      </w:r>
      <w:proofErr w:type="spellStart"/>
      <w:r w:rsidRPr="00065D5F">
        <w:rPr>
          <w:rFonts w:ascii="Arial" w:eastAsia="Times New Roman" w:hAnsi="Arial" w:cs="Arial"/>
          <w:color w:val="000000"/>
          <w:sz w:val="24"/>
          <w:szCs w:val="24"/>
          <w:lang w:eastAsia="pt-BR"/>
        </w:rPr>
        <w:t>IFd</w:t>
      </w:r>
      <w:proofErr w:type="spellEnd"/>
      <w:r w:rsidRPr="00065D5F">
        <w:rPr>
          <w:rFonts w:ascii="Arial" w:eastAsia="Times New Roman" w:hAnsi="Arial" w:cs="Arial"/>
          <w:color w:val="000000"/>
          <w:sz w:val="24"/>
          <w:szCs w:val="24"/>
          <w:lang w:eastAsia="pt-BR"/>
        </w:rPr>
        <w:t xml:space="preserve"> = 0,0571x + 0,3129, onde X= Divisão da área, em hectares, pelo módulo fiscal do município, considerando-se a fração.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xml:space="preserve">Parágrafo Único. A referência do Módulo Fiscal por município consta no Anexo I. Todos os imóveis com dimensão até um módulo fiscal terão como resultado de fator dimensão o </w:t>
      </w:r>
      <w:proofErr w:type="gramStart"/>
      <w:r w:rsidRPr="00065D5F">
        <w:rPr>
          <w:rFonts w:ascii="Arial" w:eastAsia="Times New Roman" w:hAnsi="Arial" w:cs="Arial"/>
          <w:color w:val="000000"/>
          <w:sz w:val="24"/>
          <w:szCs w:val="24"/>
          <w:lang w:eastAsia="pt-BR"/>
        </w:rPr>
        <w:t>valor  0</w:t>
      </w:r>
      <w:proofErr w:type="gramEnd"/>
      <w:r w:rsidRPr="00065D5F">
        <w:rPr>
          <w:rFonts w:ascii="Arial" w:eastAsia="Times New Roman" w:hAnsi="Arial" w:cs="Arial"/>
          <w:color w:val="000000"/>
          <w:sz w:val="24"/>
          <w:szCs w:val="24"/>
          <w:lang w:eastAsia="pt-BR"/>
        </w:rPr>
        <w:t>,01. Os imóveis acima de quinze módulos fiscais terão como resultado de fator o valor 1,17.</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CAPÍTULO III</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DO VALOR DE REFERÊNCIA DO HECTARE, POR MUNICÍPIO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7°. Os valores de referência do hectare fixado para cada município são expressos em reais, considerando as microrregiões geográficas, conforme tabela a seguir:</w:t>
      </w:r>
    </w:p>
    <w:tbl>
      <w:tblPr>
        <w:tblW w:w="9322" w:type="dxa"/>
        <w:tblCellMar>
          <w:left w:w="0" w:type="dxa"/>
          <w:right w:w="0" w:type="dxa"/>
        </w:tblCellMar>
        <w:tblLook w:val="04A0" w:firstRow="1" w:lastRow="0" w:firstColumn="1" w:lastColumn="0" w:noHBand="0" w:noVBand="1"/>
      </w:tblPr>
      <w:tblGrid>
        <w:gridCol w:w="2881"/>
        <w:gridCol w:w="2614"/>
        <w:gridCol w:w="3827"/>
      </w:tblGrid>
      <w:tr w:rsidR="00065D5F" w:rsidRPr="00065D5F" w:rsidTr="00065D5F">
        <w:tc>
          <w:tcPr>
            <w:tcW w:w="932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Tabela de Referência do Valor do Hectare por Município</w:t>
            </w:r>
          </w:p>
        </w:tc>
      </w:tr>
      <w:tr w:rsidR="00065D5F" w:rsidRPr="00065D5F" w:rsidTr="00065D5F">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Microrregião</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Munciípio</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Valor de Referência por hectare</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Almeirim</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Almeirim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R$ 550,00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Porto de Moz</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R$ 356,00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Altamira</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Altamira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R$ 520,19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proofErr w:type="spellStart"/>
            <w:r w:rsidRPr="00065D5F">
              <w:rPr>
                <w:rFonts w:ascii="Verdana" w:eastAsia="Times New Roman" w:hAnsi="Verdana" w:cs="Calibri"/>
                <w:sz w:val="24"/>
                <w:szCs w:val="24"/>
                <w:lang w:eastAsia="pt-BR"/>
              </w:rPr>
              <w:t>Anapu</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R$ 512,00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Brasil Novo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R$ 650,00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Medicilândia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R$ 630,00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Senador José Porfírio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R$ 472,89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Uruará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R$ 690,00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Vitória do Xingu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R$ 472,89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Pacajá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R$ 510,09</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Arari</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Cachoeira do Arari</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Chaves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Muaná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Ponta de Pedras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Salvaterra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 Cruz do Arari</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Soure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Bragantina</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Augusto Corrêa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Bonito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Bragança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Capanema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 xml:space="preserve">Nova </w:t>
            </w:r>
            <w:proofErr w:type="spellStart"/>
            <w:r w:rsidRPr="00065D5F">
              <w:rPr>
                <w:rFonts w:ascii="Verdana" w:eastAsia="Times New Roman" w:hAnsi="Verdana" w:cs="Calibri"/>
                <w:sz w:val="24"/>
                <w:szCs w:val="24"/>
                <w:lang w:eastAsia="pt-BR"/>
              </w:rPr>
              <w:t>Timboteua</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Igarapé Açu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Peixe Boi</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Primavera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Quatipuru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Santarém Novo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 Maria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proofErr w:type="spellStart"/>
            <w:r w:rsidRPr="00065D5F">
              <w:rPr>
                <w:rFonts w:ascii="Verdana" w:eastAsia="Times New Roman" w:hAnsi="Verdana" w:cs="Calibri"/>
                <w:sz w:val="24"/>
                <w:szCs w:val="24"/>
                <w:lang w:eastAsia="pt-BR"/>
              </w:rPr>
              <w:t>Tracuateua</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Francisco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R$ 355,59</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Belém</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Ananindeua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R$ 2.084,62</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Marituba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R$ 2.084,62</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Belém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R$ 2.084,62</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Benevides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R$ 2.084,62</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 Bárbara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R$ 2.084,62</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Barcarena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R$ 2.084,62</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Cametá</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Abaetetuba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Baião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Igarapé-</w:t>
            </w:r>
            <w:proofErr w:type="spellStart"/>
            <w:r w:rsidRPr="00065D5F">
              <w:rPr>
                <w:rFonts w:ascii="Verdana" w:eastAsia="Times New Roman" w:hAnsi="Verdana" w:cs="Calibri"/>
                <w:sz w:val="24"/>
                <w:szCs w:val="24"/>
                <w:lang w:eastAsia="pt-BR"/>
              </w:rPr>
              <w:t>Miri</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Limoeiro do Ajuru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Mocajuba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Cametá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Oeiras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R$ 328,64</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Castanhal</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Bujaru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R$ 590,00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Castanhal</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R$ 628,00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proofErr w:type="spellStart"/>
            <w:r w:rsidRPr="00065D5F">
              <w:rPr>
                <w:rFonts w:ascii="Verdana" w:eastAsia="Times New Roman" w:hAnsi="Verdana" w:cs="Calibri"/>
                <w:sz w:val="24"/>
                <w:szCs w:val="24"/>
                <w:lang w:eastAsia="pt-BR"/>
              </w:rPr>
              <w:t>Inhangapi</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R$ 590,00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 Isabel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R$ 628,00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Santo Antônio do Tauá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R$ 628,00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Conceição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R$ 729,00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Floresta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R$ 729,00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 Maria das Barreiras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R$ 911,00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Santana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R$ 729,00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Furo de Breves</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Afuá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Anajás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Breves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Curralinho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Sebastião da Boa Vista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Guamá</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Aurora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Cachoeiras do Piriá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R$ 468,00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Capitão Poço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Garrafão do Norte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Ipixuna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Irituia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Mãe do Rio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Nova Esperança do Piriá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R$ 468,00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Ourém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R$ 468,00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 Luzia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R$ 468,00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Domingos do Capim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R$ 586,00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Miguel do Guamá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R$ 468,00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Viseu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R$ 468,00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Marabá</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Brejo Grande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R$ 870,00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Marabá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R$ 870,00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Palestina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R$ 870,00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Domingos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R$ 870,00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João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R$ 870,00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Itaituba</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Aveiro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R$ 326,00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Itaituba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Jacareacanga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R$ 256,69</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Novo Progresso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R$ 354,90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Rurópolis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R$ 316,00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Trairão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R$ 289,93</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Óbidos</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Faro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Juruti</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Oriximiná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Terra Santa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R$ 356,00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Óbidos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R$ 356,00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Parauapebas</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Água Azul do Norte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R$ 1.489,70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Canaã dos Carajás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R$ 1.489,70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Curionópolis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R$ 1.489,70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Eldorado dos Carajás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R$ 1.489,70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Parauapebas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R$ 1.489,70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Paragominas</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Paragominas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R$ 525,00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Rondon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R$ 754,00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Abel Figueiredo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R$ 680,26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Bom Jesus do Tocantins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R$ 680,26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Dom Eliseu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R$ 680,20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Ulianópolis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R$ 680,20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Goianésia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R$ 754,00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Portel</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Bagre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Gurupá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Melgaço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Portel R$</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R$ 326,23</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Redenção</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Pau d’Arco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R$ 729,00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Redenção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R$ 729,00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Rio Maria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R$ 729,00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Piçarra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R$ 911,00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Geraldo do Araguaia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R$ 911,00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Sapucaia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R$ 911,00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Xinguara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R$ 729,00</w:t>
            </w:r>
          </w:p>
        </w:tc>
      </w:tr>
      <w:tr w:rsidR="00065D5F" w:rsidRPr="00065D5F" w:rsidTr="00065D5F">
        <w:trPr>
          <w:trHeight w:val="70"/>
        </w:trPr>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Salgado</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Colares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Curuçá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Magalhães Barata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Maracanã</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Marapanim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Salinópolis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Caetano de Odivelas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João da Ponta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São João de Pirabas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Terra Alta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R$ 358,36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Vigia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R$ 358,36</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Santarém</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Alenquer</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R$ 382,96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proofErr w:type="spellStart"/>
            <w:r w:rsidRPr="00065D5F">
              <w:rPr>
                <w:rFonts w:ascii="Verdana" w:eastAsia="Times New Roman" w:hAnsi="Verdana" w:cs="Calibri"/>
                <w:sz w:val="24"/>
                <w:szCs w:val="24"/>
                <w:lang w:eastAsia="pt-BR"/>
              </w:rPr>
              <w:t>Belterra</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R$ 895,91</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proofErr w:type="spellStart"/>
            <w:r w:rsidRPr="00065D5F">
              <w:rPr>
                <w:rFonts w:ascii="Verdana" w:eastAsia="Times New Roman" w:hAnsi="Verdana" w:cs="Calibri"/>
                <w:sz w:val="24"/>
                <w:szCs w:val="24"/>
                <w:lang w:eastAsia="pt-BR"/>
              </w:rPr>
              <w:t>Curuá</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R$ 382,96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Monte Alegre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R$ 382,96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proofErr w:type="spellStart"/>
            <w:r w:rsidRPr="00065D5F">
              <w:rPr>
                <w:rFonts w:ascii="Verdana" w:eastAsia="Times New Roman" w:hAnsi="Verdana" w:cs="Calibri"/>
                <w:sz w:val="24"/>
                <w:szCs w:val="24"/>
                <w:lang w:eastAsia="pt-BR"/>
              </w:rPr>
              <w:t>Mojuí</w:t>
            </w:r>
            <w:proofErr w:type="spellEnd"/>
            <w:r w:rsidRPr="00065D5F">
              <w:rPr>
                <w:rFonts w:ascii="Verdana" w:eastAsia="Times New Roman" w:hAnsi="Verdana" w:cs="Calibri"/>
                <w:sz w:val="24"/>
                <w:szCs w:val="24"/>
                <w:lang w:eastAsia="pt-BR"/>
              </w:rPr>
              <w:t xml:space="preserve"> dos Campos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R$ 382,96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Prainha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R$ 382,96</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Santarém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R$ 895,91</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Verdana" w:eastAsia="Times New Roman" w:hAnsi="Verdana" w:cs="Calibri"/>
                <w:sz w:val="24"/>
                <w:szCs w:val="24"/>
                <w:lang w:eastAsia="pt-BR"/>
              </w:rPr>
              <w:t>Placas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R$ 382,96</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Tucuruí</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Breu Branco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Nova Ipixuna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R$ 945,00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Itupiranga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R$ 825,00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Jacundá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Novo Repartimento</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Tucuruí</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São Félix do Xingu</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Bannach</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Cumaru do Norte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Ourilândia do Norte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Félix do Xingu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R$ 911,43</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Tucumã</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R$ 878,00</w:t>
            </w:r>
          </w:p>
        </w:tc>
      </w:tr>
      <w:tr w:rsidR="00065D5F" w:rsidRPr="00065D5F" w:rsidTr="00065D5F">
        <w:tc>
          <w:tcPr>
            <w:tcW w:w="288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Tomé-Açu</w:t>
            </w: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Acará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R$ 557,00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Concórdia do Pará</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R$ 680,00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Moju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R$ 729,00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Tailândia</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R$680,00</w:t>
            </w:r>
          </w:p>
        </w:tc>
      </w:tr>
      <w:tr w:rsidR="00065D5F" w:rsidRPr="00065D5F" w:rsidTr="00065D5F">
        <w:tc>
          <w:tcPr>
            <w:tcW w:w="0" w:type="auto"/>
            <w:vMerge/>
            <w:tcBorders>
              <w:top w:val="nil"/>
              <w:left w:val="single" w:sz="8" w:space="0" w:color="auto"/>
              <w:bottom w:val="single" w:sz="8" w:space="0" w:color="auto"/>
              <w:right w:val="single" w:sz="8" w:space="0" w:color="auto"/>
            </w:tcBorders>
            <w:vAlign w:val="center"/>
            <w:hideMark/>
          </w:tcPr>
          <w:p w:rsidR="00065D5F" w:rsidRPr="00065D5F" w:rsidRDefault="00065D5F" w:rsidP="00065D5F">
            <w:pPr>
              <w:spacing w:after="0" w:line="240" w:lineRule="auto"/>
              <w:rPr>
                <w:rFonts w:ascii="Calibri" w:eastAsia="Times New Roman" w:hAnsi="Calibri" w:cs="Calibri"/>
                <w:lang w:eastAsia="pt-BR"/>
              </w:rPr>
            </w:pPr>
          </w:p>
        </w:tc>
        <w:tc>
          <w:tcPr>
            <w:tcW w:w="261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Tomé-Açu</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R$ 557,00</w:t>
            </w:r>
          </w:p>
        </w:tc>
      </w:tr>
    </w:tbl>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CAPÍTULO IV</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DO CÁLCULO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8° O Valor da Terra Nua é obtido com a aplicação dos índices dos respectivos fatores sobre o valor de referência do hectare, mediante o emprego da expressão matemática:</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VTN = (</w:t>
      </w:r>
      <w:proofErr w:type="spellStart"/>
      <w:r w:rsidRPr="00065D5F">
        <w:rPr>
          <w:rFonts w:ascii="Arial" w:eastAsia="Times New Roman" w:hAnsi="Arial" w:cs="Arial"/>
          <w:color w:val="000000"/>
          <w:sz w:val="24"/>
          <w:szCs w:val="24"/>
          <w:lang w:eastAsia="pt-BR"/>
        </w:rPr>
        <w:t>VrT</w:t>
      </w:r>
      <w:proofErr w:type="spellEnd"/>
      <w:r w:rsidRPr="00065D5F">
        <w:rPr>
          <w:rFonts w:ascii="Arial" w:eastAsia="Times New Roman" w:hAnsi="Arial" w:cs="Arial"/>
          <w:color w:val="000000"/>
          <w:sz w:val="24"/>
          <w:szCs w:val="24"/>
          <w:lang w:eastAsia="pt-BR"/>
        </w:rPr>
        <w:t>*</w:t>
      </w:r>
      <w:proofErr w:type="spellStart"/>
      <w:r w:rsidRPr="00065D5F">
        <w:rPr>
          <w:rFonts w:ascii="Arial" w:eastAsia="Times New Roman" w:hAnsi="Arial" w:cs="Arial"/>
          <w:color w:val="000000"/>
          <w:sz w:val="24"/>
          <w:szCs w:val="24"/>
          <w:lang w:eastAsia="pt-BR"/>
        </w:rPr>
        <w:t>IFa</w:t>
      </w:r>
      <w:proofErr w:type="spellEnd"/>
      <w:r w:rsidRPr="00065D5F">
        <w:rPr>
          <w:rFonts w:ascii="Arial" w:eastAsia="Times New Roman" w:hAnsi="Arial" w:cs="Arial"/>
          <w:color w:val="000000"/>
          <w:sz w:val="24"/>
          <w:szCs w:val="24"/>
          <w:lang w:eastAsia="pt-BR"/>
        </w:rPr>
        <w:t>*</w:t>
      </w:r>
      <w:proofErr w:type="spellStart"/>
      <w:r w:rsidRPr="00065D5F">
        <w:rPr>
          <w:rFonts w:ascii="Arial" w:eastAsia="Times New Roman" w:hAnsi="Arial" w:cs="Arial"/>
          <w:color w:val="000000"/>
          <w:sz w:val="24"/>
          <w:szCs w:val="24"/>
          <w:lang w:eastAsia="pt-BR"/>
        </w:rPr>
        <w:t>IFb</w:t>
      </w:r>
      <w:proofErr w:type="spellEnd"/>
      <w:r w:rsidRPr="00065D5F">
        <w:rPr>
          <w:rFonts w:ascii="Arial" w:eastAsia="Times New Roman" w:hAnsi="Arial" w:cs="Arial"/>
          <w:color w:val="000000"/>
          <w:sz w:val="24"/>
          <w:szCs w:val="24"/>
          <w:lang w:eastAsia="pt-BR"/>
        </w:rPr>
        <w:t>*</w:t>
      </w:r>
      <w:proofErr w:type="spellStart"/>
      <w:r w:rsidRPr="00065D5F">
        <w:rPr>
          <w:rFonts w:ascii="Arial" w:eastAsia="Times New Roman" w:hAnsi="Arial" w:cs="Arial"/>
          <w:color w:val="000000"/>
          <w:sz w:val="24"/>
          <w:szCs w:val="24"/>
          <w:lang w:eastAsia="pt-BR"/>
        </w:rPr>
        <w:t>IFc</w:t>
      </w:r>
      <w:proofErr w:type="spellEnd"/>
      <w:r w:rsidRPr="00065D5F">
        <w:rPr>
          <w:rFonts w:ascii="Arial" w:eastAsia="Times New Roman" w:hAnsi="Arial" w:cs="Arial"/>
          <w:color w:val="000000"/>
          <w:sz w:val="24"/>
          <w:szCs w:val="24"/>
          <w:lang w:eastAsia="pt-BR"/>
        </w:rPr>
        <w:t>*</w:t>
      </w:r>
      <w:proofErr w:type="spellStart"/>
      <w:r w:rsidRPr="00065D5F">
        <w:rPr>
          <w:rFonts w:ascii="Arial" w:eastAsia="Times New Roman" w:hAnsi="Arial" w:cs="Arial"/>
          <w:color w:val="000000"/>
          <w:sz w:val="24"/>
          <w:szCs w:val="24"/>
          <w:lang w:eastAsia="pt-BR"/>
        </w:rPr>
        <w:t>IFd</w:t>
      </w:r>
      <w:proofErr w:type="spellEnd"/>
      <w:r w:rsidRPr="00065D5F">
        <w:rPr>
          <w:rFonts w:ascii="Arial" w:eastAsia="Times New Roman" w:hAnsi="Arial" w:cs="Arial"/>
          <w:color w:val="000000"/>
          <w:sz w:val="24"/>
          <w:szCs w:val="24"/>
          <w:lang w:eastAsia="pt-BR"/>
        </w:rPr>
        <w:t xml:space="preserve">) * </w:t>
      </w:r>
      <w:proofErr w:type="spellStart"/>
      <w:r w:rsidRPr="00065D5F">
        <w:rPr>
          <w:rFonts w:ascii="Arial" w:eastAsia="Times New Roman" w:hAnsi="Arial" w:cs="Arial"/>
          <w:color w:val="000000"/>
          <w:sz w:val="24"/>
          <w:szCs w:val="24"/>
          <w:lang w:eastAsia="pt-BR"/>
        </w:rPr>
        <w:t>Sr</w:t>
      </w:r>
      <w:proofErr w:type="spellEnd"/>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Onde: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VTN = Valor da Terra Nua</w:t>
      </w:r>
    </w:p>
    <w:p w:rsidR="00065D5F" w:rsidRPr="00065D5F" w:rsidRDefault="00065D5F" w:rsidP="00065D5F">
      <w:pPr>
        <w:spacing w:after="0" w:line="240" w:lineRule="auto"/>
        <w:jc w:val="both"/>
        <w:rPr>
          <w:rFonts w:ascii="Calibri" w:eastAsia="Times New Roman" w:hAnsi="Calibri" w:cs="Calibri"/>
          <w:color w:val="000000"/>
          <w:lang w:eastAsia="pt-BR"/>
        </w:rPr>
      </w:pPr>
      <w:proofErr w:type="spellStart"/>
      <w:r w:rsidRPr="00065D5F">
        <w:rPr>
          <w:rFonts w:ascii="Arial" w:eastAsia="Times New Roman" w:hAnsi="Arial" w:cs="Arial"/>
          <w:color w:val="000000"/>
          <w:sz w:val="24"/>
          <w:szCs w:val="24"/>
          <w:lang w:eastAsia="pt-BR"/>
        </w:rPr>
        <w:t>VrT</w:t>
      </w:r>
      <w:proofErr w:type="spellEnd"/>
      <w:r w:rsidRPr="00065D5F">
        <w:rPr>
          <w:rFonts w:ascii="Arial" w:eastAsia="Times New Roman" w:hAnsi="Arial" w:cs="Arial"/>
          <w:color w:val="000000"/>
          <w:sz w:val="24"/>
          <w:szCs w:val="24"/>
          <w:lang w:eastAsia="pt-BR"/>
        </w:rPr>
        <w:t xml:space="preserve"> = Valor de Referência da Terra para o município de inserção da área requerida, em reais</w:t>
      </w:r>
    </w:p>
    <w:p w:rsidR="00065D5F" w:rsidRPr="00065D5F" w:rsidRDefault="00065D5F" w:rsidP="00065D5F">
      <w:pPr>
        <w:spacing w:after="0" w:line="240" w:lineRule="auto"/>
        <w:jc w:val="both"/>
        <w:rPr>
          <w:rFonts w:ascii="Calibri" w:eastAsia="Times New Roman" w:hAnsi="Calibri" w:cs="Calibri"/>
          <w:color w:val="000000"/>
          <w:lang w:eastAsia="pt-BR"/>
        </w:rPr>
      </w:pPr>
      <w:proofErr w:type="spellStart"/>
      <w:r w:rsidRPr="00065D5F">
        <w:rPr>
          <w:rFonts w:ascii="Arial" w:eastAsia="Times New Roman" w:hAnsi="Arial" w:cs="Arial"/>
          <w:color w:val="000000"/>
          <w:sz w:val="24"/>
          <w:szCs w:val="24"/>
          <w:lang w:eastAsia="pt-BR"/>
        </w:rPr>
        <w:t>IFa</w:t>
      </w:r>
      <w:proofErr w:type="spellEnd"/>
      <w:r w:rsidRPr="00065D5F">
        <w:rPr>
          <w:rFonts w:ascii="Arial" w:eastAsia="Times New Roman" w:hAnsi="Arial" w:cs="Arial"/>
          <w:color w:val="000000"/>
          <w:sz w:val="24"/>
          <w:szCs w:val="24"/>
          <w:lang w:eastAsia="pt-BR"/>
        </w:rPr>
        <w:t xml:space="preserve"> = Índice do fator distância à sede municipal ou ao centro urbano mais próximo</w:t>
      </w:r>
    </w:p>
    <w:p w:rsidR="00065D5F" w:rsidRPr="00065D5F" w:rsidRDefault="00065D5F" w:rsidP="00065D5F">
      <w:pPr>
        <w:spacing w:after="0" w:line="240" w:lineRule="auto"/>
        <w:jc w:val="both"/>
        <w:rPr>
          <w:rFonts w:ascii="Calibri" w:eastAsia="Times New Roman" w:hAnsi="Calibri" w:cs="Calibri"/>
          <w:color w:val="000000"/>
          <w:lang w:eastAsia="pt-BR"/>
        </w:rPr>
      </w:pPr>
      <w:proofErr w:type="spellStart"/>
      <w:r w:rsidRPr="00065D5F">
        <w:rPr>
          <w:rFonts w:ascii="Arial" w:eastAsia="Times New Roman" w:hAnsi="Arial" w:cs="Arial"/>
          <w:color w:val="000000"/>
          <w:sz w:val="24"/>
          <w:szCs w:val="24"/>
          <w:lang w:eastAsia="pt-BR"/>
        </w:rPr>
        <w:t>IFb</w:t>
      </w:r>
      <w:proofErr w:type="spellEnd"/>
      <w:r w:rsidRPr="00065D5F">
        <w:rPr>
          <w:rFonts w:ascii="Arial" w:eastAsia="Times New Roman" w:hAnsi="Arial" w:cs="Arial"/>
          <w:color w:val="000000"/>
          <w:sz w:val="24"/>
          <w:szCs w:val="24"/>
          <w:lang w:eastAsia="pt-BR"/>
        </w:rPr>
        <w:t xml:space="preserve"> = Índice do fator acesso ao imóvel</w:t>
      </w:r>
    </w:p>
    <w:p w:rsidR="00065D5F" w:rsidRPr="00065D5F" w:rsidRDefault="00065D5F" w:rsidP="00065D5F">
      <w:pPr>
        <w:spacing w:after="0" w:line="240" w:lineRule="auto"/>
        <w:jc w:val="both"/>
        <w:rPr>
          <w:rFonts w:ascii="Calibri" w:eastAsia="Times New Roman" w:hAnsi="Calibri" w:cs="Calibri"/>
          <w:color w:val="000000"/>
          <w:lang w:eastAsia="pt-BR"/>
        </w:rPr>
      </w:pPr>
      <w:proofErr w:type="spellStart"/>
      <w:r w:rsidRPr="00065D5F">
        <w:rPr>
          <w:rFonts w:ascii="Arial" w:eastAsia="Times New Roman" w:hAnsi="Arial" w:cs="Arial"/>
          <w:color w:val="000000"/>
          <w:sz w:val="24"/>
          <w:szCs w:val="24"/>
          <w:lang w:eastAsia="pt-BR"/>
        </w:rPr>
        <w:t>IFc</w:t>
      </w:r>
      <w:proofErr w:type="spellEnd"/>
      <w:r w:rsidRPr="00065D5F">
        <w:rPr>
          <w:rFonts w:ascii="Arial" w:eastAsia="Times New Roman" w:hAnsi="Arial" w:cs="Arial"/>
          <w:color w:val="000000"/>
          <w:sz w:val="24"/>
          <w:szCs w:val="24"/>
          <w:lang w:eastAsia="pt-BR"/>
        </w:rPr>
        <w:t xml:space="preserve"> = Índice do fator ancianidade da ocupação</w:t>
      </w:r>
    </w:p>
    <w:p w:rsidR="00065D5F" w:rsidRPr="00065D5F" w:rsidRDefault="00065D5F" w:rsidP="00065D5F">
      <w:pPr>
        <w:spacing w:after="0" w:line="240" w:lineRule="auto"/>
        <w:jc w:val="both"/>
        <w:rPr>
          <w:rFonts w:ascii="Calibri" w:eastAsia="Times New Roman" w:hAnsi="Calibri" w:cs="Calibri"/>
          <w:color w:val="000000"/>
          <w:lang w:eastAsia="pt-BR"/>
        </w:rPr>
      </w:pPr>
      <w:proofErr w:type="spellStart"/>
      <w:r w:rsidRPr="00065D5F">
        <w:rPr>
          <w:rFonts w:ascii="Arial" w:eastAsia="Times New Roman" w:hAnsi="Arial" w:cs="Arial"/>
          <w:color w:val="000000"/>
          <w:sz w:val="24"/>
          <w:szCs w:val="24"/>
          <w:lang w:eastAsia="pt-BR"/>
        </w:rPr>
        <w:t>IFd</w:t>
      </w:r>
      <w:proofErr w:type="spellEnd"/>
      <w:r w:rsidRPr="00065D5F">
        <w:rPr>
          <w:rFonts w:ascii="Arial" w:eastAsia="Times New Roman" w:hAnsi="Arial" w:cs="Arial"/>
          <w:color w:val="000000"/>
          <w:sz w:val="24"/>
          <w:szCs w:val="24"/>
          <w:lang w:eastAsia="pt-BR"/>
        </w:rPr>
        <w:t xml:space="preserve"> = Índice do fator dimensão da área</w:t>
      </w:r>
    </w:p>
    <w:p w:rsidR="00065D5F" w:rsidRPr="00065D5F" w:rsidRDefault="00065D5F" w:rsidP="00065D5F">
      <w:pPr>
        <w:spacing w:after="0" w:line="240" w:lineRule="auto"/>
        <w:jc w:val="both"/>
        <w:rPr>
          <w:rFonts w:ascii="Calibri" w:eastAsia="Times New Roman" w:hAnsi="Calibri" w:cs="Calibri"/>
          <w:color w:val="000000"/>
          <w:lang w:eastAsia="pt-BR"/>
        </w:rPr>
      </w:pPr>
      <w:proofErr w:type="spellStart"/>
      <w:r w:rsidRPr="00065D5F">
        <w:rPr>
          <w:rFonts w:ascii="Arial" w:eastAsia="Times New Roman" w:hAnsi="Arial" w:cs="Arial"/>
          <w:color w:val="000000"/>
          <w:sz w:val="24"/>
          <w:szCs w:val="24"/>
          <w:lang w:eastAsia="pt-BR"/>
        </w:rPr>
        <w:t>Sr</w:t>
      </w:r>
      <w:proofErr w:type="spellEnd"/>
      <w:r w:rsidRPr="00065D5F">
        <w:rPr>
          <w:rFonts w:ascii="Arial" w:eastAsia="Times New Roman" w:hAnsi="Arial" w:cs="Arial"/>
          <w:color w:val="000000"/>
          <w:sz w:val="24"/>
          <w:szCs w:val="24"/>
          <w:lang w:eastAsia="pt-BR"/>
        </w:rPr>
        <w:t xml:space="preserve"> = Área requerida (em hectare)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xml:space="preserve">Art. 9° Para os casos de aquisição de terras, com pagamento parcelado, serão cobrados dos beneficiários da regularização fundiária juros que incidirão sobre o </w:t>
      </w:r>
      <w:r w:rsidRPr="00065D5F">
        <w:rPr>
          <w:rFonts w:ascii="Arial" w:eastAsia="Times New Roman" w:hAnsi="Arial" w:cs="Arial"/>
          <w:color w:val="000000"/>
          <w:sz w:val="24"/>
          <w:szCs w:val="24"/>
          <w:lang w:eastAsia="pt-BR"/>
        </w:rPr>
        <w:lastRenderedPageBreak/>
        <w:t>saldo devedor, conforme a escala de pagamentos pactuada, em parcelas anuais pelo prazo de até 10(dez) anos.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Parágrafo Único: Para os parcelamentos por pessoas físicas serão mantidos os juros devidos à taxa de 4% a.a. e, na mesma modalidade, por pessoa jurídica juros à taxa de 7,25% a.a., estabelecidos na Resolução nº 001/2011 - CEPAF, de 30 de junho de 2011, publicada no Diário Oficial do Estado nº 31963, de 25</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de julho de 2011.</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CAPÍTULO IV</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DAS DISPOSIÇÕES FINAIS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10. As custas processuais e de serviços prestados pelo ITERPA serão cobrados de acordo com a Tabela de Custas Agrárias e Processuais, anexo II desta Resolução.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11. Revoga-se a Resolução CEPAF nº 001/11, publicada no Diário Oficial nº 31963 de 25 de julho de 2011.</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12. Esta Resolução entrará em vigor após a publicação no Diário Oficial do Estado.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ANEXO I</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TABELA DE MÓDULO FISCAL DOS MUNICÍPIOS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PARAENSES.</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tbl>
      <w:tblPr>
        <w:tblW w:w="0" w:type="auto"/>
        <w:tblCellMar>
          <w:left w:w="0" w:type="dxa"/>
          <w:right w:w="0" w:type="dxa"/>
        </w:tblCellMar>
        <w:tblLook w:val="04A0" w:firstRow="1" w:lastRow="0" w:firstColumn="1" w:lastColumn="0" w:noHBand="0" w:noVBand="1"/>
      </w:tblPr>
      <w:tblGrid>
        <w:gridCol w:w="1643"/>
        <w:gridCol w:w="1162"/>
        <w:gridCol w:w="1724"/>
        <w:gridCol w:w="1156"/>
        <w:gridCol w:w="1643"/>
        <w:gridCol w:w="1156"/>
      </w:tblGrid>
      <w:tr w:rsidR="00065D5F" w:rsidRPr="00065D5F" w:rsidTr="00065D5F">
        <w:tc>
          <w:tcPr>
            <w:tcW w:w="1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MUNICÍPIOS</w:t>
            </w:r>
          </w:p>
        </w:tc>
        <w:tc>
          <w:tcPr>
            <w:tcW w:w="1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Módulo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Fiscal (ha)</w:t>
            </w:r>
          </w:p>
        </w:tc>
        <w:tc>
          <w:tcPr>
            <w:tcW w:w="1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MUNICÍPIOS</w:t>
            </w:r>
          </w:p>
        </w:tc>
        <w:tc>
          <w:tcPr>
            <w:tcW w:w="1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Módulo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Fiscal (ha)</w:t>
            </w:r>
          </w:p>
        </w:tc>
        <w:tc>
          <w:tcPr>
            <w:tcW w:w="1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MUNICÍPIOS</w:t>
            </w:r>
          </w:p>
        </w:tc>
        <w:tc>
          <w:tcPr>
            <w:tcW w:w="1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Módulo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Fiscal (ha)</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Abaetetuba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Dom Eliseu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Prainha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Abel Figueiredo</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Eldorado dos</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Carajás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Primavera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Acará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Faro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Quatipuru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Afuá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Floresta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Redenção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Água Azul do Norte</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Garrafão do Norte</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Rio Maria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Alenquer</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Goianésia 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Rondon 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Almeirim</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Gurupá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Rurópolis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Altamira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Igarapé-Açu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Salinópolis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Anajás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Igarapé-</w:t>
            </w:r>
            <w:proofErr w:type="spellStart"/>
            <w:r w:rsidRPr="00065D5F">
              <w:rPr>
                <w:rFonts w:ascii="Arial" w:eastAsia="Times New Roman" w:hAnsi="Arial" w:cs="Arial"/>
                <w:sz w:val="24"/>
                <w:szCs w:val="24"/>
                <w:lang w:eastAsia="pt-BR"/>
              </w:rPr>
              <w:t>Miri</w:t>
            </w:r>
            <w:proofErr w:type="spellEnd"/>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Salvaterra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Ananindeua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Inhangapi</w:t>
            </w:r>
            <w:proofErr w:type="spellEnd"/>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 Bárbara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Anapu</w:t>
            </w:r>
            <w:proofErr w:type="spellEnd"/>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Ipixuna 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 Cruz do Arari</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lastRenderedPageBreak/>
              <w:t>Augusto Corrêa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Irituia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 Isabel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Aurora do Pará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Itaituba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 Luzia 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Aveiro</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Itupiranga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 Maria das</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Barreiras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Bagre</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Jacareacanga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 Maria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Baião</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Jacundá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Santana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Bannach</w:t>
            </w:r>
            <w:proofErr w:type="spellEnd"/>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Juruti</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Santarém</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Barcarena </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Limoeiro do Ajuru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Santarém Novo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Belém</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Mãe do Rio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Santo Antônio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do Tauá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Belterra</w:t>
            </w:r>
            <w:proofErr w:type="spellEnd"/>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Magalhães Barata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Caetano de</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Odivelas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Benevides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Marabá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Domingos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Bom Jesus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Tocantins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Maracanã</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Domingos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Capim</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Bonito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Marapanim</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Félix do Xingu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Bragança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Marituba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Francisco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Brasil Novo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Medicilândia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Geraldo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Brejo Grande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Melgaço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João da Ponta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Breu Branco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Mocajuba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João de</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Pirabas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Breves</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Moju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João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Bujaru</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Monte Alegre</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Miguel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Guamá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Cachoeira do Arari 65</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Muaná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São Sebastião da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Boa Vista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lastRenderedPageBreak/>
              <w:t>Cachoeira do Piriá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Nova Esperança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do Piriá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Sapucaia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Cametá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Nova Ipixuna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Senador José</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Porfírio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Canaã dos Carajás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xml:space="preserve">Nova </w:t>
            </w:r>
            <w:proofErr w:type="spellStart"/>
            <w:r w:rsidRPr="00065D5F">
              <w:rPr>
                <w:rFonts w:ascii="Arial" w:eastAsia="Times New Roman" w:hAnsi="Arial" w:cs="Arial"/>
                <w:sz w:val="24"/>
                <w:szCs w:val="24"/>
                <w:lang w:eastAsia="pt-BR"/>
              </w:rPr>
              <w:t>Timboteua</w:t>
            </w:r>
            <w:proofErr w:type="spellEnd"/>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Soure</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Capanema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Novo Progresso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Tailândia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Capitão Poço</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Novo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Repartimento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Terra Alta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Castanhal</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Óbidos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Terra Santa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Chaves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Oeiras 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Tomé-Açu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Colares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Oriximiná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Tracuateua</w:t>
            </w:r>
            <w:proofErr w:type="spellEnd"/>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Conceição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Araguaia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Ourém</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Trairão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Concórdia do Pará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Ourilândia do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Norte</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Tucumã</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Cumaru do Norte</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Pacajá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Tucuruí</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Curionópolis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Palestina do Pará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Ulianópolis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Curralinho</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Paragominas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Uruará</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Curuá</w:t>
            </w:r>
            <w:proofErr w:type="spellEnd"/>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Parauapebas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Vigia</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Curuçá</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Pau d’Arco</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Viseu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Peixe-Boi</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55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Ponta de Pedras</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65</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Vitória do Xingu</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Piçarra</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Portel</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Xinguara 75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r>
      <w:tr w:rsidR="00065D5F" w:rsidRPr="00065D5F" w:rsidTr="00065D5F">
        <w:tc>
          <w:tcPr>
            <w:tcW w:w="1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Placas</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75</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Porto de Moz</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70</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1233"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bl>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FONTE: INSTITUTO NACIONAL DE COLONIZAÇÃO E REFORMA AGRÁRIA – INCRA</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ANEXO II</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TABELA DE CUSTAS AGRÁRIAS E PROCESSUAIS</w:t>
      </w:r>
    </w:p>
    <w:tbl>
      <w:tblPr>
        <w:tblW w:w="0" w:type="auto"/>
        <w:tblCellMar>
          <w:left w:w="0" w:type="dxa"/>
          <w:right w:w="0" w:type="dxa"/>
        </w:tblCellMar>
        <w:tblLook w:val="04A0" w:firstRow="1" w:lastRow="0" w:firstColumn="1" w:lastColumn="0" w:noHBand="0" w:noVBand="1"/>
      </w:tblPr>
      <w:tblGrid>
        <w:gridCol w:w="2691"/>
        <w:gridCol w:w="3938"/>
        <w:gridCol w:w="1855"/>
      </w:tblGrid>
      <w:tr w:rsidR="00065D5F" w:rsidRPr="00065D5F" w:rsidTr="00065D5F">
        <w:tc>
          <w:tcPr>
            <w:tcW w:w="3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ITEM</w:t>
            </w:r>
          </w:p>
        </w:tc>
        <w:tc>
          <w:tcPr>
            <w:tcW w:w="25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DISCRIMINAÇÃO</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Preço(R$)</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Protocolo do requerimento inicial para processos de Alienação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Onerosa</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Protocolo do requerimento inicial para processos de Alienação não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Onerosa</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19,32</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1.3</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Desarquivamento de processo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19,32</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lastRenderedPageBreak/>
              <w:t>1.4</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Protocolo do requerimento inicial para levantamento de Informações</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de autenticidade</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registro de</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titulo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1.5</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Elaboração de Edital de Publicação ou Homologação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32,21 / módulo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1.6</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Analise do Plano de Aproveitamento Econômico 77,30 / módulo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módulo</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1.7</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Análise das peças técnicas topográficas georreferenciadas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38,65/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1.8</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Reanalise das peças técnicas topográficas georreferenciadas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38,65/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1.9</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Levantamento de informações cadastral</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38,65/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1.10</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Levantamento plotagem na BDF</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38,65/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1.11</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Parecer conclusivo do Departamento Técnico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38,65/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1.12</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proofErr w:type="spellStart"/>
            <w:r w:rsidRPr="00065D5F">
              <w:rPr>
                <w:rFonts w:ascii="Arial" w:eastAsia="Times New Roman" w:hAnsi="Arial" w:cs="Arial"/>
                <w:sz w:val="24"/>
                <w:szCs w:val="24"/>
                <w:lang w:eastAsia="pt-BR"/>
              </w:rPr>
              <w:t>Parecer</w:t>
            </w:r>
            <w:proofErr w:type="spellEnd"/>
            <w:r w:rsidRPr="00065D5F">
              <w:rPr>
                <w:rFonts w:ascii="Arial" w:eastAsia="Times New Roman" w:hAnsi="Arial" w:cs="Arial"/>
                <w:sz w:val="24"/>
                <w:szCs w:val="24"/>
                <w:lang w:eastAsia="pt-BR"/>
              </w:rPr>
              <w:t xml:space="preserve"> da Procuradoria Jurídica (inicial ou conclusivo) </w:t>
            </w:r>
            <w:proofErr w:type="spellStart"/>
            <w:r w:rsidRPr="00065D5F">
              <w:rPr>
                <w:rFonts w:ascii="Arial" w:eastAsia="Times New Roman" w:hAnsi="Arial" w:cs="Arial"/>
                <w:sz w:val="24"/>
                <w:szCs w:val="24"/>
                <w:lang w:eastAsia="pt-BR"/>
              </w:rPr>
              <w:t>lo</w:t>
            </w:r>
            <w:proofErr w:type="spellEnd"/>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xml:space="preserve">38,65/ </w:t>
            </w:r>
            <w:proofErr w:type="spellStart"/>
            <w:r w:rsidRPr="00065D5F">
              <w:rPr>
                <w:rFonts w:ascii="Arial" w:eastAsia="Times New Roman" w:hAnsi="Arial" w:cs="Arial"/>
                <w:sz w:val="24"/>
                <w:szCs w:val="24"/>
                <w:lang w:eastAsia="pt-BR"/>
              </w:rPr>
              <w:t>módu</w:t>
            </w:r>
            <w:proofErr w:type="spellEnd"/>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1.13</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Cadastro cartográfico definitivo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 xml:space="preserve">38,65/ </w:t>
            </w:r>
            <w:proofErr w:type="spellStart"/>
            <w:r w:rsidRPr="00065D5F">
              <w:rPr>
                <w:rFonts w:ascii="Arial" w:eastAsia="Times New Roman" w:hAnsi="Arial" w:cs="Arial"/>
                <w:sz w:val="24"/>
                <w:szCs w:val="24"/>
                <w:lang w:eastAsia="pt-BR"/>
              </w:rPr>
              <w:t>módu</w:t>
            </w:r>
            <w:proofErr w:type="spellEnd"/>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1.14</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Confecção de Título Definitivo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rPr>
                <w:rFonts w:ascii="Calibri" w:eastAsia="Times New Roman" w:hAnsi="Calibri" w:cs="Calibri"/>
                <w:lang w:eastAsia="pt-BR"/>
              </w:rPr>
            </w:pPr>
            <w:r w:rsidRPr="00065D5F">
              <w:rPr>
                <w:rFonts w:ascii="Arial" w:eastAsia="Times New Roman" w:hAnsi="Arial" w:cs="Arial"/>
                <w:sz w:val="24"/>
                <w:szCs w:val="24"/>
                <w:lang w:eastAsia="pt-BR"/>
              </w:rPr>
              <w:t xml:space="preserve">38,65/ </w:t>
            </w:r>
            <w:proofErr w:type="spellStart"/>
            <w:r w:rsidRPr="00065D5F">
              <w:rPr>
                <w:rFonts w:ascii="Arial" w:eastAsia="Times New Roman" w:hAnsi="Arial" w:cs="Arial"/>
                <w:sz w:val="24"/>
                <w:szCs w:val="24"/>
                <w:lang w:eastAsia="pt-BR"/>
              </w:rPr>
              <w:t>módu</w:t>
            </w:r>
            <w:proofErr w:type="spellEnd"/>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1.15</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Termo de revalidação/ Retificação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1.16</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Declaração/Atestado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1.17</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Expedição de Certidão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154,60 / folha</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1.18</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Pesquisa documental (Certidão)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19,32 / ano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1.19</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Exame de autenticidade de documentos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154,60 /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1.20</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Consulta formal de preços de terras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1.21</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Transformação de processo de alienação não onerosa em onerosa</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módulo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1.22</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Custas iniciais de transferência de aforamento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77,30 / 500 ha</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1.23</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Taxas de foro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154,60 / 500 ha</w:t>
            </w:r>
          </w:p>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 </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1.24</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Desarquivamento de processo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128,83 / processo</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1.25</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Vistoria “in loco”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231,90 / servidor</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1.26</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Fiscalização do Plano de Aproveitamento Econômico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231,90 / servidor</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1.27</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Demarcação/Georreferenciamento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309,20 / servidor</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lastRenderedPageBreak/>
              <w:t>1.28</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Fiscalização da demarcação/Georreferenciamento/ aviventação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309,20 / servidor</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1.29</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Confecção de croquis e planta</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0,21 / cm²</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1.30</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Reprodução de mapas e desenhos</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0,04 / cm²</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1.31</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Resgate de Aforamento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322,09 / 500 ha</w:t>
            </w:r>
          </w:p>
        </w:tc>
      </w:tr>
      <w:tr w:rsidR="00065D5F" w:rsidRPr="00065D5F" w:rsidTr="00065D5F">
        <w:tc>
          <w:tcPr>
            <w:tcW w:w="3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1.32</w:t>
            </w:r>
          </w:p>
        </w:tc>
        <w:tc>
          <w:tcPr>
            <w:tcW w:w="2570"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Parecer Técnico ou Jurídico.</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065D5F" w:rsidRPr="00065D5F" w:rsidRDefault="00065D5F" w:rsidP="00065D5F">
            <w:pPr>
              <w:spacing w:after="0" w:line="240" w:lineRule="auto"/>
              <w:jc w:val="both"/>
              <w:rPr>
                <w:rFonts w:ascii="Calibri" w:eastAsia="Times New Roman" w:hAnsi="Calibri" w:cs="Calibri"/>
                <w:lang w:eastAsia="pt-BR"/>
              </w:rPr>
            </w:pPr>
            <w:r w:rsidRPr="00065D5F">
              <w:rPr>
                <w:rFonts w:ascii="Arial" w:eastAsia="Times New Roman" w:hAnsi="Arial" w:cs="Arial"/>
                <w:sz w:val="24"/>
                <w:szCs w:val="24"/>
                <w:lang w:eastAsia="pt-BR"/>
              </w:rPr>
              <w:t>4509,10/ parecer</w:t>
            </w:r>
          </w:p>
        </w:tc>
      </w:tr>
    </w:tbl>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Obs. Cada módulo corresponde a 500 há</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Homologação da Resolução de nº 001/2015, do Conselho Estadual de Política Agrícola, Agrária e Fundiária do Pará - CEPAF.</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O Presidente do Conselho Estadual de Política Agrícola, Agrária e Fundiária do Pará - CEPAF, no uso das atribuições que lhe confere os artigos 4º e 15, inciso XII, do Regimento Interno do CEPAF, 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Considerando que os preços das regularizações onerosas de terras públicas devem ser estabelecidos, periodicamente, pelo CEPAF, nos termos do art. 240, da Constituição Estadual, combinado com o art. 37, da Lei nº 5.489, de 24 de junho de 1994;</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Considerando, ainda, deliberação do Conselho Estadual de Política Agrícola, Agrária e Fundiária do Pará - CEPAF, que aprovou a tabela de Valor da Terra Nua (VTN), conforme Ata de reunião realizada no dia 30 de junho de 2015;</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R E S O L V E:</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1º - Fica homologada a Resolução nº 001, de 30 de junho de 2015, do Conselho Estadual de Política Agrícola, Agrária e Fundiária do Pará- CEPAF.</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2º - A Presidência do Instituto de Terras do Pará - ITERPA deverá adotar as providências necessárias à ampla divulgação e execução do presente ato.</w:t>
      </w:r>
    </w:p>
    <w:p w:rsidR="00065D5F" w:rsidRPr="00065D5F" w:rsidRDefault="00065D5F" w:rsidP="00065D5F">
      <w:pPr>
        <w:spacing w:after="0" w:line="240" w:lineRule="auto"/>
        <w:jc w:val="both"/>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Art. 3º - Este ato entrará em vigor na data de sua publicação, ficando revogadas as disposições em contrário.</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Belém, 02 de julho de 2015.</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 </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HILDEGARDO DE FIGUEIREDO NUNES</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Secretário de Estado de Desenvolvimento Agropecuário e da</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Pesca</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Presidente do Conselho Estadual de Política Agrícola, Agrária e</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Fundiária do Pará</w:t>
      </w:r>
    </w:p>
    <w:p w:rsidR="00065D5F" w:rsidRPr="00065D5F" w:rsidRDefault="00065D5F" w:rsidP="00065D5F">
      <w:pPr>
        <w:spacing w:after="0" w:line="240" w:lineRule="auto"/>
        <w:rPr>
          <w:rFonts w:ascii="Calibri" w:eastAsia="Times New Roman" w:hAnsi="Calibri" w:cs="Calibri"/>
          <w:color w:val="000000"/>
          <w:lang w:eastAsia="pt-BR"/>
        </w:rPr>
      </w:pPr>
      <w:r w:rsidRPr="00065D5F">
        <w:rPr>
          <w:rFonts w:ascii="Arial" w:eastAsia="Times New Roman" w:hAnsi="Arial" w:cs="Arial"/>
          <w:color w:val="000000"/>
          <w:sz w:val="24"/>
          <w:szCs w:val="24"/>
          <w:lang w:eastAsia="pt-BR"/>
        </w:rPr>
        <w:t>Protocolo 848810</w:t>
      </w:r>
    </w:p>
    <w:p w:rsidR="00AB32AE" w:rsidRDefault="00AB32AE">
      <w:bookmarkStart w:id="0" w:name="_GoBack"/>
      <w:bookmarkEnd w:id="0"/>
    </w:p>
    <w:sectPr w:rsidR="00AB3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5F"/>
    <w:rsid w:val="00065D5F"/>
    <w:rsid w:val="00AB3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C3C3-E7AA-40C7-901C-A0800DDC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065D5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0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2409</Words>
  <Characters>13012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Filho</dc:creator>
  <cp:keywords/>
  <dc:description/>
  <cp:lastModifiedBy>Pedro Filho</cp:lastModifiedBy>
  <cp:revision>1</cp:revision>
  <dcterms:created xsi:type="dcterms:W3CDTF">2020-04-28T20:26:00Z</dcterms:created>
  <dcterms:modified xsi:type="dcterms:W3CDTF">2020-04-28T20:27:00Z</dcterms:modified>
</cp:coreProperties>
</file>